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DE5F5" w14:textId="77777777" w:rsidR="00E244FB" w:rsidRDefault="00000000">
      <w:pPr>
        <w:suppressAutoHyphens/>
        <w:ind w:left="180"/>
        <w:rPr>
          <w:rFonts w:eastAsia="Times New Roman"/>
          <w:color w:val="000000"/>
          <w:sz w:val="28"/>
          <w:szCs w:val="28"/>
          <w:u w:color="000000"/>
          <w:shd w:val="clear" w:color="auto" w:fill="FFFFFF"/>
          <w14:textOutline w14:w="0" w14:cap="flat" w14:cmpd="sng" w14:algn="ctr">
            <w14:noFill/>
            <w14:prstDash w14:val="solid"/>
            <w14:bevel/>
          </w14:textOutline>
        </w:rPr>
      </w:pPr>
      <w:r>
        <w:rPr>
          <w:rFonts w:cs="Arial Unicode MS"/>
          <w:color w:val="000000"/>
          <w:sz w:val="28"/>
          <w:szCs w:val="28"/>
          <w:u w:color="000000"/>
          <w:shd w:val="clear" w:color="auto" w:fill="FFFFFF"/>
          <w14:textOutline w14:w="0" w14:cap="flat" w14:cmpd="sng" w14:algn="ctr">
            <w14:noFill/>
            <w14:prstDash w14:val="solid"/>
            <w14:bevel/>
          </w14:textOutline>
        </w:rPr>
        <w:t>Title: "Navigating the Airways: A Critical Case of Penetrating Neck Injury"</w:t>
      </w:r>
    </w:p>
    <w:p w14:paraId="713BABBD" w14:textId="77777777" w:rsidR="00E244FB" w:rsidRDefault="00E244FB">
      <w:pPr>
        <w:suppressAutoHyphens/>
        <w:ind w:left="180"/>
        <w:rPr>
          <w:rFonts w:eastAsia="Times New Roman"/>
          <w:b/>
          <w:bCs/>
          <w:color w:val="000000"/>
          <w:sz w:val="20"/>
          <w:szCs w:val="20"/>
          <w:u w:color="000000"/>
          <w:shd w:val="clear" w:color="auto" w:fill="FFFFFF"/>
          <w14:textOutline w14:w="0" w14:cap="flat" w14:cmpd="sng" w14:algn="ctr">
            <w14:noFill/>
            <w14:prstDash w14:val="solid"/>
            <w14:bevel/>
          </w14:textOutline>
        </w:rPr>
      </w:pPr>
    </w:p>
    <w:p w14:paraId="1938534B" w14:textId="77777777" w:rsidR="00E244FB" w:rsidRDefault="00E244FB">
      <w:pPr>
        <w:suppressAutoHyphens/>
        <w:ind w:left="180"/>
        <w:rPr>
          <w:rFonts w:eastAsia="Times New Roman"/>
          <w:b/>
          <w:bCs/>
          <w:color w:val="000000"/>
          <w:sz w:val="21"/>
          <w:szCs w:val="21"/>
          <w:u w:color="000000"/>
          <w:shd w:val="clear" w:color="auto" w:fill="FFFFFF"/>
          <w14:textOutline w14:w="0" w14:cap="flat" w14:cmpd="sng" w14:algn="ctr">
            <w14:noFill/>
            <w14:prstDash w14:val="solid"/>
            <w14:bevel/>
          </w14:textOutline>
        </w:rPr>
      </w:pPr>
    </w:p>
    <w:p w14:paraId="20E031CD" w14:textId="77777777" w:rsidR="00E244FB" w:rsidRDefault="00000000">
      <w:pPr>
        <w:suppressAutoHyphens/>
        <w:ind w:left="180"/>
        <w:rPr>
          <w:rFonts w:eastAsia="Times New Roman"/>
          <w:color w:val="000000"/>
          <w:sz w:val="20"/>
          <w:szCs w:val="20"/>
          <w:u w:color="000000"/>
          <w:shd w:val="clear" w:color="auto" w:fill="FFFFFF"/>
          <w14:textOutline w14:w="0" w14:cap="flat" w14:cmpd="sng" w14:algn="ctr">
            <w14:noFill/>
            <w14:prstDash w14:val="solid"/>
            <w14:bevel/>
          </w14:textOutline>
        </w:rPr>
      </w:pPr>
      <w:r>
        <w:rPr>
          <w:rFonts w:cs="Arial Unicode MS"/>
          <w:color w:val="000000"/>
          <w:sz w:val="20"/>
          <w:szCs w:val="20"/>
          <w:u w:color="000000"/>
          <w:shd w:val="clear" w:color="auto" w:fill="FFFFFF"/>
          <w14:textOutline w14:w="0" w14:cap="flat" w14:cmpd="sng" w14:algn="ctr">
            <w14:noFill/>
            <w14:prstDash w14:val="solid"/>
            <w14:bevel/>
          </w14:textOutline>
        </w:rPr>
        <w:t>Author:</w:t>
      </w:r>
    </w:p>
    <w:p w14:paraId="53E338DF" w14:textId="77777777" w:rsidR="00E244FB" w:rsidRDefault="00000000">
      <w:pPr>
        <w:suppressAutoHyphens/>
        <w:ind w:left="180"/>
        <w:rPr>
          <w:rFonts w:ascii="Arial" w:eastAsia="Arial" w:hAnsi="Arial" w:cs="Arial"/>
          <w:b/>
          <w:bCs/>
          <w:color w:val="000000"/>
          <w:sz w:val="20"/>
          <w:szCs w:val="20"/>
          <w:u w:color="000000"/>
          <w:shd w:val="clear" w:color="auto" w:fill="FFFFFF"/>
          <w14:textOutline w14:w="0" w14:cap="flat" w14:cmpd="sng" w14:algn="ctr">
            <w14:noFill/>
            <w14:prstDash w14:val="solid"/>
            <w14:bevel/>
          </w14:textOutline>
        </w:rPr>
      </w:pPr>
      <w:r>
        <w:rPr>
          <w:rFonts w:cs="Arial Unicode MS"/>
          <w:b/>
          <w:bCs/>
          <w:color w:val="000000"/>
          <w:sz w:val="20"/>
          <w:szCs w:val="20"/>
          <w:u w:color="000000"/>
          <w14:textOutline w14:w="0" w14:cap="flat" w14:cmpd="sng" w14:algn="ctr">
            <w14:noFill/>
            <w14:prstDash w14:val="solid"/>
            <w14:bevel/>
          </w14:textOutline>
        </w:rPr>
        <w:t>Shivani Selvaratnam</w:t>
      </w:r>
      <w:r>
        <w:rPr>
          <w:rFonts w:cs="Arial Unicode MS"/>
          <w:color w:val="000000"/>
          <w:sz w:val="20"/>
          <w:szCs w:val="20"/>
          <w:u w:color="000000"/>
          <w:vertAlign w:val="superscript"/>
          <w14:textOutline w14:w="0" w14:cap="flat" w14:cmpd="sng" w14:algn="ctr">
            <w14:noFill/>
            <w14:prstDash w14:val="solid"/>
            <w14:bevel/>
          </w14:textOutline>
        </w:rPr>
        <w:t>1</w:t>
      </w:r>
      <w:r>
        <w:rPr>
          <w:rFonts w:cs="Arial Unicode MS"/>
          <w:b/>
          <w:bCs/>
          <w:color w:val="000000"/>
          <w:sz w:val="20"/>
          <w:szCs w:val="20"/>
          <w:u w:color="000000"/>
          <w14:textOutline w14:w="0" w14:cap="flat" w14:cmpd="sng" w14:algn="ctr">
            <w14:noFill/>
            <w14:prstDash w14:val="solid"/>
            <w14:bevel/>
          </w14:textOutline>
        </w:rPr>
        <w:t>, Shamini Sangasamy</w:t>
      </w:r>
      <w:r>
        <w:rPr>
          <w:rFonts w:cs="Arial Unicode MS"/>
          <w:color w:val="000000"/>
          <w:sz w:val="20"/>
          <w:szCs w:val="20"/>
          <w:u w:color="000000"/>
          <w:vertAlign w:val="superscript"/>
          <w14:textOutline w14:w="0" w14:cap="flat" w14:cmpd="sng" w14:algn="ctr">
            <w14:noFill/>
            <w14:prstDash w14:val="solid"/>
            <w14:bevel/>
          </w14:textOutline>
        </w:rPr>
        <w:t>1</w:t>
      </w:r>
    </w:p>
    <w:p w14:paraId="4F09B414" w14:textId="77777777" w:rsidR="00E244FB" w:rsidRDefault="00000000">
      <w:pPr>
        <w:suppressAutoHyphens/>
        <w:rPr>
          <w:rFonts w:eastAsia="Times New Roman"/>
          <w:i/>
          <w:iCs/>
          <w:color w:val="202124"/>
          <w:sz w:val="20"/>
          <w:szCs w:val="20"/>
          <w:u w:color="202124"/>
          <w:shd w:val="clear" w:color="auto" w:fill="FFFFFF"/>
          <w14:textOutline w14:w="0" w14:cap="flat" w14:cmpd="sng" w14:algn="ctr">
            <w14:noFill/>
            <w14:prstDash w14:val="solid"/>
            <w14:bevel/>
          </w14:textOutline>
        </w:rPr>
      </w:pPr>
      <w:r>
        <w:rPr>
          <w:rFonts w:ascii="Arial" w:eastAsia="Arial" w:hAnsi="Arial" w:cs="Arial"/>
          <w:b/>
          <w:bCs/>
          <w:color w:val="202124"/>
          <w:sz w:val="20"/>
          <w:szCs w:val="20"/>
          <w:u w:color="202124"/>
          <w:shd w:val="clear" w:color="auto" w:fill="FFFFFF"/>
          <w14:textOutline w14:w="0" w14:cap="flat" w14:cmpd="sng" w14:algn="ctr">
            <w14:noFill/>
            <w14:prstDash w14:val="solid"/>
            <w14:bevel/>
          </w14:textOutline>
        </w:rPr>
        <w:br/>
      </w:r>
      <w:r>
        <w:rPr>
          <w:rFonts w:ascii="Arial" w:hAnsi="Arial" w:cs="Arial Unicode MS"/>
          <w:i/>
          <w:iCs/>
          <w:color w:val="202124"/>
          <w:sz w:val="20"/>
          <w:szCs w:val="20"/>
          <w:u w:color="202124"/>
          <w:shd w:val="clear" w:color="auto" w:fill="FFFFFF"/>
          <w14:textOutline w14:w="0" w14:cap="flat" w14:cmpd="sng" w14:algn="ctr">
            <w14:noFill/>
            <w14:prstDash w14:val="solid"/>
            <w14:bevel/>
          </w14:textOutline>
        </w:rPr>
        <w:t xml:space="preserve">    </w:t>
      </w:r>
      <w:r>
        <w:rPr>
          <w:rFonts w:ascii="Arial" w:hAnsi="Arial" w:cs="Arial Unicode MS"/>
          <w:i/>
          <w:iCs/>
          <w:color w:val="202124"/>
          <w:sz w:val="20"/>
          <w:szCs w:val="20"/>
          <w:u w:color="202124"/>
          <w:shd w:val="clear" w:color="auto" w:fill="FFFFFF"/>
          <w:vertAlign w:val="superscript"/>
          <w14:textOutline w14:w="0" w14:cap="flat" w14:cmpd="sng" w14:algn="ctr">
            <w14:noFill/>
            <w14:prstDash w14:val="solid"/>
            <w14:bevel/>
          </w14:textOutline>
        </w:rPr>
        <w:t xml:space="preserve">1 </w:t>
      </w:r>
      <w:r>
        <w:rPr>
          <w:rFonts w:cs="Arial Unicode MS"/>
          <w:i/>
          <w:iCs/>
          <w:color w:val="202124"/>
          <w:sz w:val="20"/>
          <w:szCs w:val="20"/>
          <w:u w:color="202124"/>
          <w:shd w:val="clear" w:color="auto" w:fill="FFFFFF"/>
          <w14:textOutline w14:w="0" w14:cap="flat" w14:cmpd="sng" w14:algn="ctr">
            <w14:noFill/>
            <w14:prstDash w14:val="solid"/>
            <w14:bevel/>
          </w14:textOutline>
        </w:rPr>
        <w:t>HOSPITAL SULTAN IDRIS SHAH SERDANG, KAJANG, MALAYSIA</w:t>
      </w:r>
    </w:p>
    <w:p w14:paraId="424E40C7" w14:textId="77777777" w:rsidR="00E244FB" w:rsidRDefault="00E244FB">
      <w:pPr>
        <w:suppressAutoHyphens/>
        <w:ind w:left="180"/>
        <w:rPr>
          <w:rFonts w:eastAsia="Times New Roman"/>
          <w:color w:val="000000"/>
          <w:sz w:val="20"/>
          <w:szCs w:val="20"/>
          <w:u w:color="000000"/>
          <w14:textOutline w14:w="0" w14:cap="flat" w14:cmpd="sng" w14:algn="ctr">
            <w14:noFill/>
            <w14:prstDash w14:val="solid"/>
            <w14:bevel/>
          </w14:textOutline>
        </w:rPr>
      </w:pPr>
    </w:p>
    <w:p w14:paraId="4F17E025" w14:textId="77777777" w:rsidR="00E244FB" w:rsidRDefault="00E244FB">
      <w:pPr>
        <w:pStyle w:val="Body"/>
        <w:suppressAutoHyphens/>
        <w:rPr>
          <w:rFonts w:ascii="Times New Roman" w:eastAsia="Times New Roman" w:hAnsi="Times New Roman" w:cs="Times New Roman"/>
          <w:b/>
          <w:bCs/>
          <w:sz w:val="24"/>
          <w:szCs w:val="24"/>
          <w:u w:color="000000"/>
        </w:rPr>
      </w:pPr>
    </w:p>
    <w:p w14:paraId="61FEBAB7" w14:textId="77777777" w:rsidR="00E244FB" w:rsidRDefault="00000000">
      <w:pPr>
        <w:pStyle w:val="Body"/>
        <w:suppressAutoHyphens/>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Introduction</w:t>
      </w:r>
    </w:p>
    <w:p w14:paraId="044DDF11" w14:textId="77777777"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Early detection of hard and soft signs in penetrating neck injuries is vital to identify vascular or airway compromise. Approximately 20% of laryngo-tracheal trauma cases result in mortality</w:t>
      </w:r>
    </w:p>
    <w:p w14:paraId="3A7347D2" w14:textId="77777777" w:rsidR="00E244FB" w:rsidRDefault="00E244FB">
      <w:pPr>
        <w:pStyle w:val="Body"/>
        <w:suppressAutoHyphens/>
        <w:rPr>
          <w:rFonts w:ascii="Times New Roman" w:eastAsia="Times New Roman" w:hAnsi="Times New Roman" w:cs="Times New Roman"/>
          <w:sz w:val="24"/>
          <w:szCs w:val="24"/>
          <w:u w:color="000000"/>
          <w:lang w:val="en-US"/>
        </w:rPr>
      </w:pPr>
    </w:p>
    <w:p w14:paraId="7397296A" w14:textId="77777777" w:rsidR="00E244FB" w:rsidRDefault="00000000">
      <w:pPr>
        <w:pStyle w:val="Body"/>
        <w:suppressAutoHyphens/>
        <w:rPr>
          <w:rFonts w:ascii="Times New Roman" w:eastAsia="Times New Roman" w:hAnsi="Times New Roman" w:cs="Times New Roman"/>
          <w:b/>
          <w:bCs/>
          <w:sz w:val="24"/>
          <w:szCs w:val="24"/>
          <w:u w:color="000000"/>
        </w:rPr>
      </w:pPr>
      <w:r>
        <w:rPr>
          <w:rFonts w:ascii="Times New Roman" w:hAnsi="Times New Roman"/>
          <w:b/>
          <w:bCs/>
          <w:sz w:val="24"/>
          <w:szCs w:val="24"/>
          <w:u w:color="000000"/>
          <w:lang w:val="en-US"/>
        </w:rPr>
        <w:t xml:space="preserve">Case </w:t>
      </w:r>
    </w:p>
    <w:p w14:paraId="091CB774" w14:textId="0E79454D"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We present a case of a male patient who sustained laceration wounds to Zone I and Zone II of the neck following a motor-vehicle accident. Upon arrival, the patient exhibited hoarseness of voice, neck pain, and shortness of breath. Clinical examination revealed two laceration wounds over Zone I and Zone II, with the Zone II wound showing a hard sign of bubbling, indicating a laryngo-tracheal injury. Extensive subcutaneous emphysema was noted on the left side of the neck, extending to the face. Despite being hemodynamically stable, the patient showed signs of hypoxia. A referral to ENT for a bedside flexible nasopharyngeal scope revealed a hematoma over the posterolateral pharyngeal wall at the level of the epiglottis and an edematous, immobile left vocal cord. The patient was then taken to the operating theater (OT) for an emergency tracheostomy. A Computer Tomography (CT) scan of the thorax and neck confirmed subcutaneous emphysema complicated by pneumomediastinum and laryngeal cartilage fractures. Subsequently, the patient was referred to</w:t>
      </w:r>
      <w:r w:rsidR="00EA1E5B">
        <w:rPr>
          <w:rFonts w:ascii="Times New Roman" w:hAnsi="Times New Roman"/>
          <w:sz w:val="24"/>
          <w:szCs w:val="24"/>
          <w:u w:color="000000"/>
          <w:lang w:val="en-US"/>
        </w:rPr>
        <w:t xml:space="preserve"> Plastics</w:t>
      </w:r>
      <w:r>
        <w:rPr>
          <w:rFonts w:ascii="Times New Roman" w:hAnsi="Times New Roman"/>
          <w:sz w:val="24"/>
          <w:szCs w:val="24"/>
          <w:u w:color="000000"/>
          <w:lang w:val="en-US"/>
        </w:rPr>
        <w:t xml:space="preserve"> for reconstructive laryngeal surgery.</w:t>
      </w:r>
    </w:p>
    <w:p w14:paraId="2DB69F01" w14:textId="77777777" w:rsidR="00E244FB" w:rsidRDefault="00E244FB">
      <w:pPr>
        <w:pStyle w:val="Body"/>
        <w:suppressAutoHyphens/>
        <w:rPr>
          <w:rFonts w:ascii="Times New Roman" w:eastAsia="Times New Roman" w:hAnsi="Times New Roman" w:cs="Times New Roman"/>
          <w:sz w:val="24"/>
          <w:szCs w:val="24"/>
          <w:u w:color="000000"/>
          <w:lang w:val="en-US"/>
        </w:rPr>
      </w:pPr>
    </w:p>
    <w:p w14:paraId="51FEB63D" w14:textId="77777777" w:rsidR="00E244FB" w:rsidRDefault="00000000">
      <w:pPr>
        <w:pStyle w:val="Body"/>
        <w:suppressAutoHyphens/>
        <w:rPr>
          <w:rFonts w:ascii="Times New Roman" w:eastAsia="Times New Roman" w:hAnsi="Times New Roman" w:cs="Times New Roman"/>
          <w:b/>
          <w:bCs/>
          <w:sz w:val="24"/>
          <w:szCs w:val="24"/>
          <w:u w:color="000000"/>
          <w:lang w:val="en-US"/>
        </w:rPr>
      </w:pPr>
      <w:r>
        <w:rPr>
          <w:rFonts w:ascii="Times New Roman" w:hAnsi="Times New Roman"/>
          <w:b/>
          <w:bCs/>
          <w:sz w:val="24"/>
          <w:szCs w:val="24"/>
          <w:u w:color="000000"/>
          <w:lang w:val="en-US"/>
        </w:rPr>
        <w:t>Discussion</w:t>
      </w:r>
    </w:p>
    <w:p w14:paraId="33A229F0" w14:textId="77777777" w:rsidR="00E244FB" w:rsidRDefault="00000000">
      <w:pPr>
        <w:pStyle w:val="Body"/>
        <w:suppressAutoHyphens/>
        <w:rPr>
          <w:rFonts w:ascii="Times New Roman" w:eastAsia="Times New Roman" w:hAnsi="Times New Roman" w:cs="Times New Roman"/>
          <w:sz w:val="24"/>
          <w:szCs w:val="24"/>
          <w:u w:color="000000"/>
        </w:rPr>
      </w:pPr>
      <w:r>
        <w:rPr>
          <w:rFonts w:ascii="Times New Roman" w:hAnsi="Times New Roman"/>
          <w:sz w:val="24"/>
          <w:szCs w:val="24"/>
          <w:u w:color="000000"/>
          <w:lang w:val="en-US"/>
        </w:rPr>
        <w:t>The Western Trauma Association provides specific guidelines for managing penetrating neck injuries. Various intubation methods, such as rapid sequence induction (RSI) via orotracheal intubation, awake intubation, or fiber-optic intubation, may be considered. In difficult cases where intubation and ventilation are not possible, a surgical airway is the last resort. Challenges include the risk of inserting the endotracheal tube into a false lumen caused by anatomical distortion or worsening subcutaneous emphysema due to the use of bag-mask ventilation (BMV) or laryngeal mask airway (LMA). Hence, choosing the least complicated method on a case-by-case basis is crucial.</w:t>
      </w:r>
    </w:p>
    <w:p w14:paraId="6F2FA59D" w14:textId="77777777" w:rsidR="00E244FB" w:rsidRDefault="00E244FB">
      <w:pPr>
        <w:pStyle w:val="Body"/>
        <w:suppressAutoHyphens/>
        <w:rPr>
          <w:rFonts w:ascii="Times New Roman" w:eastAsia="Times New Roman" w:hAnsi="Times New Roman" w:cs="Times New Roman"/>
          <w:sz w:val="24"/>
          <w:szCs w:val="24"/>
          <w:u w:color="000000"/>
        </w:rPr>
      </w:pPr>
    </w:p>
    <w:p w14:paraId="11F1788A" w14:textId="77777777" w:rsidR="00E244FB" w:rsidRDefault="00000000">
      <w:pPr>
        <w:pStyle w:val="Body"/>
        <w:suppressAutoHyphens/>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 xml:space="preserve">Conclusion </w:t>
      </w:r>
    </w:p>
    <w:p w14:paraId="77AA0D63" w14:textId="77777777"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Managing an airway in penetrating neck injuries is not a one-size-fits-all approach. The strategy depends on multiple factors, including the type and extent of the injury, available tools, and the operator's experience, to minimize complications and ensure patient safety.</w:t>
      </w:r>
    </w:p>
    <w:p w14:paraId="51D08533" w14:textId="77777777" w:rsidR="00E244FB" w:rsidRDefault="00E244FB">
      <w:pPr>
        <w:pStyle w:val="Body"/>
        <w:suppressAutoHyphens/>
        <w:rPr>
          <w:rFonts w:ascii="Times New Roman" w:eastAsia="Times New Roman" w:hAnsi="Times New Roman" w:cs="Times New Roman"/>
          <w:sz w:val="24"/>
          <w:szCs w:val="24"/>
          <w:u w:color="000000"/>
          <w:lang w:val="en-US"/>
        </w:rPr>
      </w:pPr>
    </w:p>
    <w:p w14:paraId="4792E7A5" w14:textId="77777777"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b/>
          <w:bCs/>
          <w:sz w:val="24"/>
          <w:szCs w:val="24"/>
          <w:u w:color="000000"/>
          <w:lang w:val="en-US"/>
        </w:rPr>
        <w:t xml:space="preserve">Keywords: </w:t>
      </w:r>
      <w:r>
        <w:rPr>
          <w:rFonts w:ascii="Times New Roman" w:hAnsi="Times New Roman"/>
          <w:sz w:val="24"/>
          <w:szCs w:val="24"/>
          <w:u w:color="000000"/>
          <w:lang w:val="en-US"/>
        </w:rPr>
        <w:t xml:space="preserve">Penetrating neck injury, airway management, laryngo-tracheal trauma. </w:t>
      </w:r>
    </w:p>
    <w:p w14:paraId="69CD70EB" w14:textId="77777777" w:rsidR="00E244FB" w:rsidRDefault="00E244FB">
      <w:pPr>
        <w:pStyle w:val="Body"/>
        <w:suppressAutoHyphens/>
        <w:rPr>
          <w:rFonts w:ascii="Times New Roman" w:eastAsia="Times New Roman" w:hAnsi="Times New Roman" w:cs="Times New Roman"/>
          <w:sz w:val="24"/>
          <w:szCs w:val="24"/>
          <w:u w:color="000000"/>
          <w:lang w:val="en-US"/>
        </w:rPr>
      </w:pPr>
    </w:p>
    <w:p w14:paraId="0971C842" w14:textId="77777777" w:rsidR="00E244FB" w:rsidRDefault="00000000">
      <w:pPr>
        <w:pStyle w:val="Body"/>
        <w:suppressAutoHyphens/>
        <w:rPr>
          <w:rFonts w:ascii="Times New Roman" w:eastAsia="Times New Roman" w:hAnsi="Times New Roman" w:cs="Times New Roman"/>
          <w:sz w:val="24"/>
          <w:szCs w:val="24"/>
          <w:u w:color="000000"/>
          <w:lang w:val="en-US"/>
        </w:rPr>
      </w:pPr>
      <w:proofErr w:type="gramStart"/>
      <w:r>
        <w:rPr>
          <w:rFonts w:ascii="Times New Roman" w:hAnsi="Times New Roman"/>
          <w:b/>
          <w:bCs/>
          <w:sz w:val="24"/>
          <w:szCs w:val="24"/>
          <w:u w:color="000000"/>
          <w:lang w:val="en-US"/>
        </w:rPr>
        <w:t>Disclosure :</w:t>
      </w:r>
      <w:proofErr w:type="gramEnd"/>
      <w:r>
        <w:rPr>
          <w:rFonts w:ascii="Times New Roman" w:hAnsi="Times New Roman"/>
          <w:sz w:val="24"/>
          <w:szCs w:val="24"/>
          <w:u w:color="000000"/>
          <w:lang w:val="en-US"/>
        </w:rPr>
        <w:t xml:space="preserve"> All authors declare no conflict of interest.</w:t>
      </w:r>
    </w:p>
    <w:p w14:paraId="6D1C3A21" w14:textId="77777777" w:rsidR="00E244FB" w:rsidRDefault="00E244FB">
      <w:pPr>
        <w:pStyle w:val="Body"/>
        <w:suppressAutoHyphens/>
        <w:rPr>
          <w:rFonts w:ascii="Times New Roman" w:eastAsia="Times New Roman" w:hAnsi="Times New Roman" w:cs="Times New Roman"/>
          <w:sz w:val="24"/>
          <w:szCs w:val="24"/>
          <w:u w:color="000000"/>
          <w:lang w:val="en-US"/>
        </w:rPr>
      </w:pPr>
    </w:p>
    <w:p w14:paraId="321956F7" w14:textId="77777777" w:rsidR="00E244FB" w:rsidRDefault="00E244FB">
      <w:pPr>
        <w:pStyle w:val="Body"/>
        <w:suppressAutoHyphens/>
        <w:rPr>
          <w:rFonts w:ascii="Times New Roman" w:eastAsia="Times New Roman" w:hAnsi="Times New Roman" w:cs="Times New Roman"/>
          <w:b/>
          <w:bCs/>
          <w:sz w:val="24"/>
          <w:szCs w:val="24"/>
          <w:u w:color="000000"/>
          <w:lang w:val="en-US"/>
        </w:rPr>
      </w:pPr>
    </w:p>
    <w:p w14:paraId="112A0F22" w14:textId="77777777" w:rsidR="00E244FB" w:rsidRDefault="00000000">
      <w:pPr>
        <w:pStyle w:val="Body"/>
        <w:suppressAutoHyphens/>
        <w:rPr>
          <w:rFonts w:ascii="Times New Roman" w:eastAsia="Times New Roman" w:hAnsi="Times New Roman" w:cs="Times New Roman"/>
          <w:b/>
          <w:bCs/>
          <w:sz w:val="24"/>
          <w:szCs w:val="24"/>
          <w:u w:color="000000"/>
          <w:lang w:val="en-US"/>
        </w:rPr>
      </w:pPr>
      <w:r>
        <w:rPr>
          <w:rFonts w:ascii="Times New Roman" w:hAnsi="Times New Roman"/>
          <w:b/>
          <w:bCs/>
          <w:sz w:val="24"/>
          <w:szCs w:val="24"/>
          <w:u w:color="000000"/>
          <w:lang w:val="en-US"/>
        </w:rPr>
        <w:t>References</w:t>
      </w:r>
    </w:p>
    <w:p w14:paraId="1593572F" w14:textId="77777777"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Western Trauma Association. "Guidelines for Management of Penetrating Neck Trauma." Journal of Trauma and Acute Care Surgery, vol. 78, no. 1, 2015, pp. 11-20.</w:t>
      </w:r>
    </w:p>
    <w:p w14:paraId="508452A8" w14:textId="77777777" w:rsidR="00E244FB" w:rsidRDefault="00000000">
      <w:pPr>
        <w:pStyle w:val="Body"/>
        <w:suppressAutoHyphens/>
        <w:rPr>
          <w:rFonts w:ascii="Times New Roman" w:eastAsia="Times New Roman" w:hAnsi="Times New Roman" w:cs="Times New Roman"/>
          <w:sz w:val="24"/>
          <w:szCs w:val="24"/>
          <w:u w:color="000000"/>
          <w:lang w:val="en-US"/>
        </w:rPr>
      </w:pPr>
      <w:r>
        <w:rPr>
          <w:rFonts w:ascii="Times New Roman" w:hAnsi="Times New Roman"/>
          <w:sz w:val="24"/>
          <w:szCs w:val="24"/>
          <w:u w:color="000000"/>
          <w:lang w:val="en-US"/>
        </w:rPr>
        <w:t>Fry, W. R., et al. "Penetrating Neck Trauma: A Guide to Evaluation and Management." Annals of Emergency Medicine, vol. 27, no. 2, 1996, pp. 236-243.</w:t>
      </w:r>
    </w:p>
    <w:p w14:paraId="7F63D3CA" w14:textId="77777777" w:rsidR="00E244FB" w:rsidRDefault="00E244FB">
      <w:pPr>
        <w:pStyle w:val="Body"/>
        <w:suppressAutoHyphens/>
      </w:pPr>
    </w:p>
    <w:sectPr w:rsidR="00E244FB">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6BEA" w14:textId="77777777" w:rsidR="004E2061" w:rsidRDefault="004E2061">
      <w:r>
        <w:separator/>
      </w:r>
    </w:p>
  </w:endnote>
  <w:endnote w:type="continuationSeparator" w:id="0">
    <w:p w14:paraId="4565B4EA" w14:textId="77777777" w:rsidR="004E2061" w:rsidRDefault="004E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F94D" w14:textId="77777777" w:rsidR="00E244FB" w:rsidRDefault="00E244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CBC9B" w14:textId="77777777" w:rsidR="004E2061" w:rsidRDefault="004E2061">
      <w:r>
        <w:separator/>
      </w:r>
    </w:p>
  </w:footnote>
  <w:footnote w:type="continuationSeparator" w:id="0">
    <w:p w14:paraId="5B688DF3" w14:textId="77777777" w:rsidR="004E2061" w:rsidRDefault="004E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F835" w14:textId="77777777" w:rsidR="00E244FB" w:rsidRDefault="00E244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FB"/>
    <w:rsid w:val="000E40AB"/>
    <w:rsid w:val="004E2061"/>
    <w:rsid w:val="00E244FB"/>
    <w:rsid w:val="00EA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D738"/>
  <w15:docId w15:val="{E50E9FA0-05C2-4E49-9A38-5D44C08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2468</Characters>
  <Application>Microsoft Office Word</Application>
  <DocSecurity>0</DocSecurity>
  <Lines>43</Lines>
  <Paragraphs>8</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Shivani Selvaratnam</cp:lastModifiedBy>
  <cp:revision>2</cp:revision>
  <dcterms:created xsi:type="dcterms:W3CDTF">2024-05-29T17:09:00Z</dcterms:created>
  <dcterms:modified xsi:type="dcterms:W3CDTF">2024-05-29T17:10:00Z</dcterms:modified>
</cp:coreProperties>
</file>