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B8DA" w14:textId="77777777" w:rsidR="00D5577A" w:rsidRPr="004234B3" w:rsidRDefault="00000000">
      <w:pPr>
        <w:pStyle w:val="Title"/>
        <w:rPr>
          <w:lang w:val="en-GB"/>
        </w:rPr>
      </w:pPr>
      <w:r w:rsidRPr="004234B3">
        <w:rPr>
          <w:lang w:val="en-GB"/>
        </w:rPr>
        <w:t>Abstract for Original Research</w:t>
      </w:r>
    </w:p>
    <w:p w14:paraId="121E4DE7" w14:textId="77777777" w:rsidR="00D5577A" w:rsidRPr="004234B3" w:rsidRDefault="00D5577A">
      <w:pPr>
        <w:pStyle w:val="Body2"/>
        <w:rPr>
          <w:lang w:val="en-GB"/>
        </w:rPr>
      </w:pPr>
    </w:p>
    <w:p w14:paraId="2F9F4E11" w14:textId="77777777" w:rsidR="00D5577A" w:rsidRPr="004234B3" w:rsidRDefault="00000000">
      <w:pPr>
        <w:pStyle w:val="Body"/>
        <w:rPr>
          <w:lang w:val="en-GB"/>
        </w:rPr>
      </w:pPr>
      <w:r w:rsidRPr="004234B3">
        <w:rPr>
          <w:lang w:val="en-GB"/>
        </w:rPr>
        <w:t>Authors:</w:t>
      </w:r>
    </w:p>
    <w:p w14:paraId="0D82B008" w14:textId="77777777" w:rsidR="00D5577A" w:rsidRPr="004234B3" w:rsidRDefault="00000000">
      <w:pPr>
        <w:pStyle w:val="Body"/>
        <w:rPr>
          <w:lang w:val="en-GB"/>
        </w:rPr>
      </w:pPr>
      <w:r w:rsidRPr="004234B3">
        <w:rPr>
          <w:lang w:val="en-GB"/>
        </w:rPr>
        <w:t xml:space="preserve">Mohd </w:t>
      </w:r>
      <w:proofErr w:type="spellStart"/>
      <w:r w:rsidRPr="004234B3">
        <w:rPr>
          <w:lang w:val="en-GB"/>
        </w:rPr>
        <w:t>Amirulikhmar</w:t>
      </w:r>
      <w:proofErr w:type="spellEnd"/>
      <w:r w:rsidRPr="004234B3">
        <w:rPr>
          <w:lang w:val="en-GB"/>
        </w:rPr>
        <w:t xml:space="preserve"> Bin </w:t>
      </w:r>
      <w:proofErr w:type="spellStart"/>
      <w:r w:rsidRPr="004234B3">
        <w:rPr>
          <w:lang w:val="en-GB"/>
        </w:rPr>
        <w:t>Jamalludin</w:t>
      </w:r>
      <w:proofErr w:type="spellEnd"/>
      <w:r w:rsidRPr="004234B3">
        <w:rPr>
          <w:lang w:val="en-GB"/>
        </w:rPr>
        <w:t xml:space="preserve">, Mohd Zaim Bin Abdullah Zawawi, </w:t>
      </w:r>
      <w:proofErr w:type="spellStart"/>
      <w:r w:rsidRPr="004234B3">
        <w:rPr>
          <w:lang w:val="en-GB"/>
        </w:rPr>
        <w:t>Syairon</w:t>
      </w:r>
      <w:proofErr w:type="spellEnd"/>
      <w:r w:rsidRPr="004234B3">
        <w:rPr>
          <w:lang w:val="en-GB"/>
        </w:rPr>
        <w:t xml:space="preserve"> </w:t>
      </w:r>
      <w:proofErr w:type="spellStart"/>
      <w:r w:rsidRPr="004234B3">
        <w:rPr>
          <w:lang w:val="en-GB"/>
        </w:rPr>
        <w:t>Nurain</w:t>
      </w:r>
      <w:proofErr w:type="spellEnd"/>
      <w:r w:rsidRPr="004234B3">
        <w:rPr>
          <w:lang w:val="en-GB"/>
        </w:rPr>
        <w:t xml:space="preserve"> Binti Ahmad, Mohd </w:t>
      </w:r>
      <w:proofErr w:type="spellStart"/>
      <w:r w:rsidRPr="004234B3">
        <w:rPr>
          <w:lang w:val="en-GB"/>
        </w:rPr>
        <w:t>Hatif</w:t>
      </w:r>
      <w:proofErr w:type="spellEnd"/>
      <w:r w:rsidRPr="004234B3">
        <w:rPr>
          <w:lang w:val="en-GB"/>
        </w:rPr>
        <w:t xml:space="preserve"> Bin </w:t>
      </w:r>
      <w:proofErr w:type="spellStart"/>
      <w:r w:rsidRPr="004234B3">
        <w:rPr>
          <w:lang w:val="en-GB"/>
        </w:rPr>
        <w:t>Kamail</w:t>
      </w:r>
      <w:proofErr w:type="spellEnd"/>
      <w:r w:rsidRPr="004234B3">
        <w:rPr>
          <w:lang w:val="en-GB"/>
        </w:rPr>
        <w:t>, Vanitha A/P Kandasamy, Emergency Department, Sarawak General Hospital, Kuching, Sarawak, Malaysia</w:t>
      </w:r>
    </w:p>
    <w:p w14:paraId="69A7CBD1" w14:textId="77777777" w:rsidR="00D5577A" w:rsidRPr="004234B3" w:rsidRDefault="00D5577A">
      <w:pPr>
        <w:pStyle w:val="Body"/>
        <w:rPr>
          <w:lang w:val="en-GB"/>
        </w:rPr>
      </w:pPr>
    </w:p>
    <w:p w14:paraId="6542F182" w14:textId="279F2D7E" w:rsidR="00D5577A" w:rsidRPr="004234B3" w:rsidRDefault="00000000" w:rsidP="006C00B8">
      <w:pPr>
        <w:pStyle w:val="Heading"/>
        <w:jc w:val="both"/>
        <w:rPr>
          <w:lang w:val="en-GB"/>
        </w:rPr>
      </w:pPr>
      <w:r w:rsidRPr="004234B3">
        <w:rPr>
          <w:lang w:val="en-GB"/>
        </w:rPr>
        <w:t xml:space="preserve">Title: Enhancing Medication Safety: Insights from a </w:t>
      </w:r>
      <w:r w:rsidR="001203D6">
        <w:rPr>
          <w:lang w:val="en-GB"/>
        </w:rPr>
        <w:t>p</w:t>
      </w:r>
      <w:r w:rsidRPr="004234B3">
        <w:rPr>
          <w:lang w:val="en-GB"/>
        </w:rPr>
        <w:t xml:space="preserve">rospective </w:t>
      </w:r>
      <w:r w:rsidR="001203D6">
        <w:rPr>
          <w:lang w:val="en-GB"/>
        </w:rPr>
        <w:t>a</w:t>
      </w:r>
      <w:r w:rsidRPr="004234B3">
        <w:rPr>
          <w:lang w:val="en-GB"/>
        </w:rPr>
        <w:t>udit at Sarawak General Hospital</w:t>
      </w:r>
    </w:p>
    <w:p w14:paraId="5437E73C" w14:textId="77777777" w:rsidR="00D5577A" w:rsidRPr="004234B3" w:rsidRDefault="00D5577A" w:rsidP="006C00B8">
      <w:pPr>
        <w:pStyle w:val="Body3"/>
        <w:jc w:val="both"/>
        <w:rPr>
          <w:lang w:val="en-GB"/>
        </w:rPr>
      </w:pPr>
    </w:p>
    <w:p w14:paraId="704523AD" w14:textId="77777777" w:rsidR="00D5577A" w:rsidRPr="004234B3" w:rsidRDefault="00D5577A" w:rsidP="006C00B8">
      <w:pPr>
        <w:pStyle w:val="Body3"/>
        <w:jc w:val="both"/>
        <w:rPr>
          <w:lang w:val="en-GB"/>
        </w:rPr>
      </w:pPr>
    </w:p>
    <w:p w14:paraId="1D1D19A2" w14:textId="77777777" w:rsidR="001C7771" w:rsidRPr="004234B3" w:rsidRDefault="001C7771" w:rsidP="006C00B8">
      <w:pPr>
        <w:pStyle w:val="Body3"/>
        <w:jc w:val="both"/>
        <w:rPr>
          <w:lang w:val="en-GB"/>
        </w:rPr>
      </w:pPr>
    </w:p>
    <w:p w14:paraId="27768BED" w14:textId="4E97045E" w:rsidR="00D5577A" w:rsidRPr="004234B3" w:rsidRDefault="00950D78" w:rsidP="006C00B8">
      <w:pPr>
        <w:pStyle w:val="Body"/>
        <w:jc w:val="both"/>
        <w:rPr>
          <w:lang w:val="en-GB"/>
        </w:rPr>
      </w:pPr>
      <w:r>
        <w:rPr>
          <w:lang w:val="en-GB"/>
        </w:rPr>
        <w:t>Introduction</w:t>
      </w:r>
      <w:r w:rsidRPr="004234B3">
        <w:rPr>
          <w:lang w:val="en-GB"/>
        </w:rPr>
        <w:t>:</w:t>
      </w:r>
    </w:p>
    <w:p w14:paraId="09E2C21E" w14:textId="60777C28" w:rsidR="00D5577A" w:rsidRDefault="00000000" w:rsidP="006C00B8">
      <w:pPr>
        <w:pStyle w:val="Body"/>
        <w:jc w:val="both"/>
        <w:rPr>
          <w:lang w:val="en-GB"/>
        </w:rPr>
      </w:pPr>
      <w:r w:rsidRPr="004234B3">
        <w:rPr>
          <w:lang w:val="en-GB"/>
        </w:rPr>
        <w:t xml:space="preserve">Ensuring medication safety in the </w:t>
      </w:r>
      <w:r w:rsidR="00FE17CE">
        <w:rPr>
          <w:lang w:val="en-GB"/>
        </w:rPr>
        <w:t>E</w:t>
      </w:r>
      <w:r w:rsidRPr="004234B3">
        <w:rPr>
          <w:lang w:val="en-GB"/>
        </w:rPr>
        <w:t xml:space="preserve">mergency </w:t>
      </w:r>
      <w:r w:rsidR="00FE17CE">
        <w:rPr>
          <w:lang w:val="en-GB"/>
        </w:rPr>
        <w:t>D</w:t>
      </w:r>
      <w:r w:rsidRPr="004234B3">
        <w:rPr>
          <w:lang w:val="en-GB"/>
        </w:rPr>
        <w:t xml:space="preserve">epartment (ED) is </w:t>
      </w:r>
      <w:r w:rsidR="001C7771" w:rsidRPr="004234B3">
        <w:rPr>
          <w:lang w:val="en-GB"/>
        </w:rPr>
        <w:t xml:space="preserve">of </w:t>
      </w:r>
      <w:r w:rsidRPr="004234B3">
        <w:rPr>
          <w:lang w:val="en-GB"/>
        </w:rPr>
        <w:t>paramount</w:t>
      </w:r>
      <w:r w:rsidR="001C7771" w:rsidRPr="004234B3">
        <w:rPr>
          <w:lang w:val="en-GB"/>
        </w:rPr>
        <w:t xml:space="preserve"> importance</w:t>
      </w:r>
      <w:r w:rsidRPr="004234B3">
        <w:rPr>
          <w:lang w:val="en-GB"/>
        </w:rPr>
        <w:t xml:space="preserve"> to prevent adverse outcomes</w:t>
      </w:r>
      <w:r w:rsidR="001C7771" w:rsidRPr="004234B3">
        <w:rPr>
          <w:lang w:val="en-GB"/>
        </w:rPr>
        <w:t>, which may contribute to patient mortality and morbidity.</w:t>
      </w:r>
      <w:r w:rsidRPr="004234B3">
        <w:rPr>
          <w:lang w:val="en-GB"/>
        </w:rPr>
        <w:t xml:space="preserve"> This study aimed to assess medication administration practices and identify areas for improvement</w:t>
      </w:r>
      <w:r w:rsidR="001C7771" w:rsidRPr="004234B3">
        <w:rPr>
          <w:lang w:val="en-GB"/>
        </w:rPr>
        <w:t xml:space="preserve"> in providing health services</w:t>
      </w:r>
      <w:r w:rsidR="00C51F71">
        <w:rPr>
          <w:lang w:val="en-GB"/>
        </w:rPr>
        <w:t>.</w:t>
      </w:r>
    </w:p>
    <w:p w14:paraId="70386B62" w14:textId="77777777" w:rsidR="00950D78" w:rsidRDefault="00950D78" w:rsidP="006C00B8">
      <w:pPr>
        <w:pStyle w:val="Body"/>
        <w:jc w:val="both"/>
        <w:rPr>
          <w:lang w:val="en-GB"/>
        </w:rPr>
      </w:pPr>
    </w:p>
    <w:p w14:paraId="2EA486A9" w14:textId="77777777" w:rsidR="00950D78" w:rsidRDefault="00950D78" w:rsidP="006C00B8">
      <w:pPr>
        <w:pStyle w:val="Body"/>
        <w:jc w:val="both"/>
        <w:rPr>
          <w:lang w:val="en-GB"/>
        </w:rPr>
      </w:pPr>
      <w:r>
        <w:rPr>
          <w:lang w:val="en-GB"/>
        </w:rPr>
        <w:t>Objectives:</w:t>
      </w:r>
    </w:p>
    <w:p w14:paraId="77B15EDE" w14:textId="707D1B6C" w:rsidR="00950D78" w:rsidRDefault="00FE17CE" w:rsidP="00950D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color w:val="000000"/>
          <w:lang w:eastAsia="en-GB"/>
        </w:rPr>
      </w:pPr>
      <w:r>
        <w:rPr>
          <w:rFonts w:ascii="Helvetica Neue" w:hAnsi="Helvetica Neue" w:cs="Helvetica Neue"/>
          <w:color w:val="000000"/>
          <w:lang w:eastAsia="en-GB"/>
        </w:rPr>
        <w:t>To</w:t>
      </w:r>
      <w:r w:rsidR="00950D78">
        <w:rPr>
          <w:rFonts w:ascii="Helvetica Neue" w:hAnsi="Helvetica Neue" w:cs="Helvetica Neue"/>
          <w:color w:val="000000"/>
          <w:lang w:eastAsia="en-GB"/>
        </w:rPr>
        <w:t xml:space="preserve"> </w:t>
      </w:r>
      <w:r>
        <w:rPr>
          <w:rFonts w:ascii="Helvetica Neue" w:hAnsi="Helvetica Neue" w:cs="Helvetica Neue"/>
          <w:color w:val="000000"/>
          <w:lang w:eastAsia="en-GB"/>
        </w:rPr>
        <w:t>i</w:t>
      </w:r>
      <w:r w:rsidR="00950D78">
        <w:rPr>
          <w:rFonts w:ascii="Helvetica Neue" w:hAnsi="Helvetica Neue" w:cs="Helvetica Neue"/>
          <w:color w:val="000000"/>
          <w:lang w:eastAsia="en-GB"/>
        </w:rPr>
        <w:t>dentify medication errors</w:t>
      </w:r>
      <w:r w:rsidR="00C51F71">
        <w:rPr>
          <w:rFonts w:ascii="Helvetica Neue" w:hAnsi="Helvetica Neue" w:cs="Helvetica Neue"/>
          <w:color w:val="000000"/>
          <w:lang w:eastAsia="en-GB"/>
        </w:rPr>
        <w:t xml:space="preserve"> incident</w:t>
      </w:r>
      <w:r w:rsidR="00950D78">
        <w:rPr>
          <w:rFonts w:ascii="Helvetica Neue" w:hAnsi="Helvetica Neue" w:cs="Helvetica Neue"/>
          <w:color w:val="000000"/>
          <w:lang w:eastAsia="en-GB"/>
        </w:rPr>
        <w:t>.</w:t>
      </w:r>
    </w:p>
    <w:p w14:paraId="6A915186" w14:textId="783D4A00" w:rsidR="00950D78" w:rsidRDefault="00FE17CE" w:rsidP="00950D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color w:val="000000"/>
          <w:lang w:eastAsia="en-GB"/>
        </w:rPr>
      </w:pPr>
      <w:r>
        <w:rPr>
          <w:rFonts w:ascii="Helvetica Neue" w:hAnsi="Helvetica Neue" w:cs="Helvetica Neue"/>
          <w:color w:val="000000"/>
          <w:lang w:eastAsia="en-GB"/>
        </w:rPr>
        <w:t>To</w:t>
      </w:r>
      <w:r w:rsidR="00950D78">
        <w:rPr>
          <w:rFonts w:ascii="Helvetica Neue" w:hAnsi="Helvetica Neue" w:cs="Helvetica Neue"/>
          <w:color w:val="000000"/>
          <w:lang w:eastAsia="en-GB"/>
        </w:rPr>
        <w:t xml:space="preserve"> </w:t>
      </w:r>
      <w:r>
        <w:rPr>
          <w:rFonts w:ascii="Helvetica Neue" w:hAnsi="Helvetica Neue" w:cs="Helvetica Neue"/>
          <w:color w:val="000000"/>
          <w:lang w:eastAsia="en-GB"/>
        </w:rPr>
        <w:t>a</w:t>
      </w:r>
      <w:r w:rsidR="00950D78">
        <w:rPr>
          <w:rFonts w:ascii="Helvetica Neue" w:hAnsi="Helvetica Neue" w:cs="Helvetica Neue"/>
          <w:color w:val="000000"/>
          <w:lang w:eastAsia="en-GB"/>
        </w:rPr>
        <w:t xml:space="preserve">ssess compliance </w:t>
      </w:r>
      <w:r>
        <w:rPr>
          <w:rFonts w:ascii="Helvetica Neue" w:hAnsi="Helvetica Neue" w:cs="Helvetica Neue"/>
          <w:color w:val="000000"/>
          <w:lang w:eastAsia="en-GB"/>
        </w:rPr>
        <w:t xml:space="preserve">to </w:t>
      </w:r>
      <w:r>
        <w:rPr>
          <w:rFonts w:ascii="Helvetica Neue" w:hAnsi="Helvetica Neue" w:cs="Helvetica Neue"/>
          <w:color w:val="000000"/>
          <w:lang w:eastAsia="en-GB"/>
        </w:rPr>
        <w:t>safe medication administration practices</w:t>
      </w:r>
      <w:r>
        <w:rPr>
          <w:rFonts w:ascii="Helvetica Neue" w:hAnsi="Helvetica Neue" w:cs="Helvetica Neue"/>
          <w:color w:val="000000"/>
          <w:lang w:eastAsia="en-GB"/>
        </w:rPr>
        <w:t xml:space="preserve"> among </w:t>
      </w:r>
      <w:r w:rsidR="00950D78">
        <w:rPr>
          <w:rFonts w:ascii="Helvetica Neue" w:hAnsi="Helvetica Neue" w:cs="Helvetica Neue"/>
          <w:color w:val="000000"/>
          <w:lang w:eastAsia="en-GB"/>
        </w:rPr>
        <w:t xml:space="preserve">healthcare workers </w:t>
      </w:r>
      <w:r w:rsidR="00C51F71">
        <w:rPr>
          <w:rFonts w:ascii="Helvetica Neue" w:hAnsi="Helvetica Neue" w:cs="Helvetica Neue"/>
          <w:color w:val="000000"/>
          <w:lang w:eastAsia="en-GB"/>
        </w:rPr>
        <w:t>across</w:t>
      </w:r>
      <w:r w:rsidR="00950D78">
        <w:rPr>
          <w:rFonts w:ascii="Helvetica Neue" w:hAnsi="Helvetica Neue" w:cs="Helvetica Neue"/>
          <w:color w:val="000000"/>
          <w:lang w:eastAsia="en-GB"/>
        </w:rPr>
        <w:t xml:space="preserve"> different</w:t>
      </w:r>
      <w:r>
        <w:rPr>
          <w:rFonts w:ascii="Helvetica Neue" w:hAnsi="Helvetica Neue" w:cs="Helvetica Neue"/>
          <w:color w:val="000000"/>
          <w:lang w:eastAsia="en-GB"/>
        </w:rPr>
        <w:t xml:space="preserve"> zones in the</w:t>
      </w:r>
      <w:r w:rsidR="00950D78">
        <w:rPr>
          <w:rFonts w:ascii="Helvetica Neue" w:hAnsi="Helvetica Neue" w:cs="Helvetica Neue"/>
          <w:color w:val="000000"/>
          <w:lang w:eastAsia="en-GB"/>
        </w:rPr>
        <w:t xml:space="preserve"> E</w:t>
      </w:r>
      <w:r>
        <w:rPr>
          <w:rFonts w:ascii="Helvetica Neue" w:hAnsi="Helvetica Neue" w:cs="Helvetica Neue"/>
          <w:color w:val="000000"/>
          <w:lang w:eastAsia="en-GB"/>
        </w:rPr>
        <w:t>D.</w:t>
      </w:r>
    </w:p>
    <w:p w14:paraId="63F16AA7" w14:textId="5048C0A4" w:rsidR="00950D78" w:rsidRDefault="00FE17CE" w:rsidP="00950D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color w:val="000000"/>
          <w:lang w:eastAsia="en-GB"/>
        </w:rPr>
      </w:pPr>
      <w:r>
        <w:rPr>
          <w:rFonts w:ascii="Helvetica Neue" w:hAnsi="Helvetica Neue" w:cs="Helvetica Neue"/>
          <w:color w:val="000000"/>
          <w:lang w:eastAsia="en-GB"/>
        </w:rPr>
        <w:t>To identify</w:t>
      </w:r>
      <w:r w:rsidR="00950D78">
        <w:rPr>
          <w:rFonts w:ascii="Helvetica Neue" w:hAnsi="Helvetica Neue" w:cs="Helvetica Neue"/>
          <w:color w:val="000000"/>
          <w:lang w:eastAsia="en-GB"/>
        </w:rPr>
        <w:t xml:space="preserve"> factors associated with non-compliance </w:t>
      </w:r>
      <w:r>
        <w:rPr>
          <w:rFonts w:ascii="Helvetica Neue" w:hAnsi="Helvetica Neue" w:cs="Helvetica Neue"/>
          <w:color w:val="000000"/>
          <w:lang w:eastAsia="en-GB"/>
        </w:rPr>
        <w:t xml:space="preserve">to </w:t>
      </w:r>
      <w:r w:rsidR="00950D78">
        <w:rPr>
          <w:rFonts w:ascii="Helvetica Neue" w:hAnsi="Helvetica Neue" w:cs="Helvetica Neue"/>
          <w:color w:val="000000"/>
          <w:lang w:eastAsia="en-GB"/>
        </w:rPr>
        <w:t>safe medication administration and develop specific</w:t>
      </w:r>
      <w:r>
        <w:rPr>
          <w:rFonts w:ascii="Helvetica Neue" w:hAnsi="Helvetica Neue" w:cs="Helvetica Neue"/>
          <w:color w:val="000000"/>
          <w:lang w:eastAsia="en-GB"/>
        </w:rPr>
        <w:t xml:space="preserve"> and</w:t>
      </w:r>
      <w:r w:rsidR="00950D78">
        <w:rPr>
          <w:rFonts w:ascii="Helvetica Neue" w:hAnsi="Helvetica Neue" w:cs="Helvetica Neue"/>
          <w:color w:val="000000"/>
          <w:lang w:eastAsia="en-GB"/>
        </w:rPr>
        <w:t xml:space="preserve"> practicable interventions.</w:t>
      </w:r>
    </w:p>
    <w:p w14:paraId="13BDE4F1" w14:textId="77777777" w:rsidR="00FE17CE" w:rsidRDefault="00FE17CE" w:rsidP="006C00B8">
      <w:pPr>
        <w:pStyle w:val="Body"/>
        <w:jc w:val="both"/>
        <w:rPr>
          <w:lang w:val="en-GB"/>
        </w:rPr>
      </w:pPr>
    </w:p>
    <w:p w14:paraId="0AD3D158" w14:textId="77777777" w:rsidR="00FE17CE" w:rsidRDefault="00FE17CE" w:rsidP="006C00B8">
      <w:pPr>
        <w:pStyle w:val="Body"/>
        <w:jc w:val="both"/>
        <w:rPr>
          <w:lang w:val="en-GB"/>
        </w:rPr>
      </w:pPr>
    </w:p>
    <w:p w14:paraId="66A92074" w14:textId="7704B655" w:rsidR="00D5577A" w:rsidRPr="004234B3" w:rsidRDefault="00000000" w:rsidP="006C00B8">
      <w:pPr>
        <w:pStyle w:val="Body"/>
        <w:jc w:val="both"/>
        <w:rPr>
          <w:lang w:val="en-GB"/>
        </w:rPr>
      </w:pPr>
      <w:r w:rsidRPr="004234B3">
        <w:rPr>
          <w:lang w:val="en-GB"/>
        </w:rPr>
        <w:lastRenderedPageBreak/>
        <w:t>Methods:</w:t>
      </w:r>
    </w:p>
    <w:p w14:paraId="459BB813" w14:textId="79573A50" w:rsidR="00950D78" w:rsidRPr="00950D78" w:rsidRDefault="00000000" w:rsidP="00950D78">
      <w:pPr>
        <w:pStyle w:val="Body"/>
        <w:jc w:val="both"/>
      </w:pPr>
      <w:r w:rsidRPr="004234B3">
        <w:rPr>
          <w:lang w:val="en-GB"/>
        </w:rPr>
        <w:t xml:space="preserve">Over </w:t>
      </w:r>
      <w:r w:rsidR="001C7771" w:rsidRPr="004234B3">
        <w:rPr>
          <w:lang w:val="en-GB"/>
        </w:rPr>
        <w:t xml:space="preserve">the course of </w:t>
      </w:r>
      <w:r w:rsidRPr="004234B3">
        <w:rPr>
          <w:lang w:val="en-GB"/>
        </w:rPr>
        <w:t>two weeks in April 2024, a prospective audit</w:t>
      </w:r>
      <w:r w:rsidR="001C7771" w:rsidRPr="004234B3">
        <w:rPr>
          <w:lang w:val="en-GB"/>
        </w:rPr>
        <w:t xml:space="preserve"> was conducted</w:t>
      </w:r>
      <w:r w:rsidRPr="004234B3">
        <w:rPr>
          <w:lang w:val="en-GB"/>
        </w:rPr>
        <w:t xml:space="preserve">, observing 100 </w:t>
      </w:r>
      <w:r w:rsidR="00852A80" w:rsidRPr="004234B3">
        <w:rPr>
          <w:lang w:val="en-GB"/>
        </w:rPr>
        <w:t>occasions</w:t>
      </w:r>
      <w:r w:rsidRPr="004234B3">
        <w:rPr>
          <w:lang w:val="en-GB"/>
        </w:rPr>
        <w:t xml:space="preserve"> of medication administration by assistant medical officers (AMOs), nurses, and doctors across </w:t>
      </w:r>
      <w:r w:rsidR="001C7771" w:rsidRPr="004234B3">
        <w:rPr>
          <w:lang w:val="en-GB"/>
        </w:rPr>
        <w:t xml:space="preserve">different zones in the </w:t>
      </w:r>
      <w:r w:rsidRPr="004234B3">
        <w:rPr>
          <w:lang w:val="en-GB"/>
        </w:rPr>
        <w:t xml:space="preserve">ED. </w:t>
      </w:r>
      <w:r w:rsidR="00852A80" w:rsidRPr="004234B3">
        <w:rPr>
          <w:lang w:val="en-GB"/>
        </w:rPr>
        <w:t xml:space="preserve">A </w:t>
      </w:r>
      <w:r w:rsidRPr="004234B3">
        <w:rPr>
          <w:lang w:val="en-GB"/>
        </w:rPr>
        <w:t xml:space="preserve">single-blind randomization through convenient sampling without interventions </w:t>
      </w:r>
      <w:r w:rsidR="00852A80" w:rsidRPr="004234B3">
        <w:rPr>
          <w:lang w:val="en-GB"/>
        </w:rPr>
        <w:t xml:space="preserve">was employed </w:t>
      </w:r>
      <w:r w:rsidRPr="004234B3">
        <w:rPr>
          <w:lang w:val="en-GB"/>
        </w:rPr>
        <w:t>and compliance</w:t>
      </w:r>
      <w:r w:rsidR="00852A80" w:rsidRPr="004234B3">
        <w:rPr>
          <w:lang w:val="en-GB"/>
        </w:rPr>
        <w:t xml:space="preserve"> to </w:t>
      </w:r>
      <w:r w:rsidR="006C00B8">
        <w:rPr>
          <w:lang w:val="en-GB"/>
        </w:rPr>
        <w:t xml:space="preserve">practices related to </w:t>
      </w:r>
      <w:r w:rsidR="00852A80" w:rsidRPr="004234B3">
        <w:rPr>
          <w:lang w:val="en-GB"/>
        </w:rPr>
        <w:t>medication safety was assessed</w:t>
      </w:r>
      <w:r w:rsidR="006C00B8">
        <w:rPr>
          <w:lang w:val="en-GB"/>
        </w:rPr>
        <w:t xml:space="preserve"> according to medication safety checklist</w:t>
      </w:r>
      <w:r w:rsidRPr="004234B3">
        <w:rPr>
          <w:lang w:val="en-GB"/>
        </w:rPr>
        <w:t>.</w:t>
      </w:r>
      <w:r w:rsidR="00950D78">
        <w:rPr>
          <w:lang w:val="en-GB"/>
        </w:rPr>
        <w:t xml:space="preserve"> </w:t>
      </w:r>
      <w:r w:rsidR="00950D78" w:rsidRPr="00950D78">
        <w:t>Between-group analysis was conducted using Pearson Chi-Square with crosstabulation</w:t>
      </w:r>
      <w:r w:rsidR="00147E84">
        <w:t xml:space="preserve">, and </w:t>
      </w:r>
      <w:r w:rsidR="00147E84" w:rsidRPr="00147E84">
        <w:rPr>
          <w:i/>
          <w:iCs/>
        </w:rPr>
        <w:t>p</w:t>
      </w:r>
      <w:r w:rsidR="00147E84">
        <w:t>-value of &lt; 0.05 was taken as statistically significant</w:t>
      </w:r>
      <w:r w:rsidR="00FE17CE">
        <w:t>.</w:t>
      </w:r>
    </w:p>
    <w:p w14:paraId="2C90D515" w14:textId="77777777" w:rsidR="006C00B8" w:rsidRPr="004234B3" w:rsidRDefault="006C00B8" w:rsidP="006C00B8">
      <w:pPr>
        <w:pStyle w:val="Body"/>
        <w:jc w:val="both"/>
        <w:rPr>
          <w:lang w:val="en-GB"/>
        </w:rPr>
      </w:pPr>
    </w:p>
    <w:p w14:paraId="7AC12EAF" w14:textId="77777777" w:rsidR="00D5577A" w:rsidRPr="004234B3" w:rsidRDefault="00000000" w:rsidP="006C00B8">
      <w:pPr>
        <w:pStyle w:val="Body"/>
        <w:jc w:val="both"/>
        <w:rPr>
          <w:lang w:val="en-GB"/>
        </w:rPr>
      </w:pPr>
      <w:r w:rsidRPr="004234B3">
        <w:rPr>
          <w:lang w:val="en-GB"/>
        </w:rPr>
        <w:t>Results:</w:t>
      </w:r>
    </w:p>
    <w:p w14:paraId="6028EFDA" w14:textId="2C5CCA42" w:rsidR="00D5577A" w:rsidRPr="004234B3" w:rsidRDefault="00000000" w:rsidP="006C00B8">
      <w:pPr>
        <w:pStyle w:val="Body"/>
        <w:jc w:val="both"/>
        <w:rPr>
          <w:lang w:val="en-GB"/>
        </w:rPr>
      </w:pPr>
      <w:r w:rsidRPr="004234B3">
        <w:rPr>
          <w:lang w:val="en-GB"/>
        </w:rPr>
        <w:t>The audit reve</w:t>
      </w:r>
      <w:r w:rsidR="00852A80" w:rsidRPr="004234B3">
        <w:rPr>
          <w:lang w:val="en-GB"/>
        </w:rPr>
        <w:t>a</w:t>
      </w:r>
      <w:r w:rsidRPr="004234B3">
        <w:rPr>
          <w:lang w:val="en-GB"/>
        </w:rPr>
        <w:t>led no medication error</w:t>
      </w:r>
      <w:r w:rsidR="00852A80" w:rsidRPr="004234B3">
        <w:rPr>
          <w:lang w:val="en-GB"/>
        </w:rPr>
        <w:t xml:space="preserve"> incident occurring within the time frame period</w:t>
      </w:r>
      <w:r w:rsidRPr="004234B3">
        <w:rPr>
          <w:lang w:val="en-GB"/>
        </w:rPr>
        <w:t>. However, analysis uncovered</w:t>
      </w:r>
      <w:r w:rsidR="00852A80" w:rsidRPr="004234B3">
        <w:rPr>
          <w:lang w:val="en-GB"/>
        </w:rPr>
        <w:t xml:space="preserve"> key</w:t>
      </w:r>
      <w:r w:rsidRPr="004234B3">
        <w:rPr>
          <w:lang w:val="en-GB"/>
        </w:rPr>
        <w:t xml:space="preserve"> areas of non-compliance: </w:t>
      </w:r>
      <w:r w:rsidR="00FE17CE">
        <w:rPr>
          <w:lang w:val="en-GB"/>
        </w:rPr>
        <w:t>v</w:t>
      </w:r>
      <w:r w:rsidRPr="004234B3">
        <w:rPr>
          <w:lang w:val="en-GB"/>
        </w:rPr>
        <w:t xml:space="preserve">erification of </w:t>
      </w:r>
      <w:r w:rsidR="00852A80" w:rsidRPr="004234B3">
        <w:rPr>
          <w:lang w:val="en-GB"/>
        </w:rPr>
        <w:t xml:space="preserve">patient’s </w:t>
      </w:r>
      <w:r w:rsidRPr="004234B3">
        <w:rPr>
          <w:lang w:val="en-GB"/>
        </w:rPr>
        <w:t xml:space="preserve">allergies (40%), </w:t>
      </w:r>
      <w:r w:rsidR="00FE17CE">
        <w:rPr>
          <w:lang w:val="en-GB"/>
        </w:rPr>
        <w:t>s</w:t>
      </w:r>
      <w:r w:rsidRPr="004234B3">
        <w:rPr>
          <w:lang w:val="en-GB"/>
        </w:rPr>
        <w:t xml:space="preserve">etting up medication </w:t>
      </w:r>
      <w:r w:rsidR="00852A80" w:rsidRPr="004234B3">
        <w:rPr>
          <w:lang w:val="en-GB"/>
        </w:rPr>
        <w:t xml:space="preserve">cart or dishes </w:t>
      </w:r>
      <w:r w:rsidRPr="004234B3">
        <w:rPr>
          <w:lang w:val="en-GB"/>
        </w:rPr>
        <w:t xml:space="preserve">(36%), </w:t>
      </w:r>
      <w:r w:rsidR="00FE17CE">
        <w:rPr>
          <w:lang w:val="en-GB"/>
        </w:rPr>
        <w:t>c</w:t>
      </w:r>
      <w:r w:rsidRPr="004234B3">
        <w:rPr>
          <w:lang w:val="en-GB"/>
        </w:rPr>
        <w:t>ounterchecking by</w:t>
      </w:r>
      <w:r w:rsidR="00852A80" w:rsidRPr="004234B3">
        <w:rPr>
          <w:lang w:val="en-GB"/>
        </w:rPr>
        <w:t xml:space="preserve"> another</w:t>
      </w:r>
      <w:r w:rsidRPr="004234B3">
        <w:rPr>
          <w:lang w:val="en-GB"/>
        </w:rPr>
        <w:t xml:space="preserve"> staff (3</w:t>
      </w:r>
      <w:r w:rsidR="004234B3" w:rsidRPr="004234B3">
        <w:rPr>
          <w:lang w:val="en-GB"/>
        </w:rPr>
        <w:t>1</w:t>
      </w:r>
      <w:r w:rsidRPr="004234B3">
        <w:rPr>
          <w:lang w:val="en-GB"/>
        </w:rPr>
        <w:t xml:space="preserve">%), and </w:t>
      </w:r>
      <w:r w:rsidR="00FE17CE">
        <w:rPr>
          <w:lang w:val="en-GB"/>
        </w:rPr>
        <w:t>p</w:t>
      </w:r>
      <w:r w:rsidR="00852A80" w:rsidRPr="004234B3">
        <w:rPr>
          <w:lang w:val="en-GB"/>
        </w:rPr>
        <w:t>reparation of medication</w:t>
      </w:r>
      <w:r w:rsidRPr="004234B3">
        <w:rPr>
          <w:lang w:val="en-GB"/>
        </w:rPr>
        <w:t xml:space="preserve"> in front of patients (17%). AMOs notably lacked medication counterchecks (18%, </w:t>
      </w:r>
      <w:r w:rsidRPr="004234B3">
        <w:rPr>
          <w:i/>
          <w:iCs/>
          <w:lang w:val="en-GB"/>
        </w:rPr>
        <w:t>p</w:t>
      </w:r>
      <w:r w:rsidR="004234B3" w:rsidRPr="004234B3">
        <w:rPr>
          <w:lang w:val="en-GB"/>
        </w:rPr>
        <w:t xml:space="preserve"> </w:t>
      </w:r>
      <w:r w:rsidRPr="004234B3">
        <w:rPr>
          <w:lang w:val="en-GB"/>
        </w:rPr>
        <w:t>=</w:t>
      </w:r>
      <w:r w:rsidR="004234B3" w:rsidRPr="004234B3">
        <w:rPr>
          <w:lang w:val="en-GB"/>
        </w:rPr>
        <w:t xml:space="preserve"> </w:t>
      </w:r>
      <w:r w:rsidRPr="004234B3">
        <w:rPr>
          <w:lang w:val="en-GB"/>
        </w:rPr>
        <w:t>0.0</w:t>
      </w:r>
      <w:r w:rsidR="004234B3" w:rsidRPr="004234B3">
        <w:rPr>
          <w:lang w:val="en-GB"/>
        </w:rPr>
        <w:t>14</w:t>
      </w:r>
      <w:r w:rsidRPr="004234B3">
        <w:rPr>
          <w:lang w:val="en-GB"/>
        </w:rPr>
        <w:t xml:space="preserve">). The red zone exhibited the highest non-compliance rates in setting up medication </w:t>
      </w:r>
      <w:r w:rsidR="004234B3" w:rsidRPr="004234B3">
        <w:rPr>
          <w:lang w:val="en-GB"/>
        </w:rPr>
        <w:t xml:space="preserve">cart or </w:t>
      </w:r>
      <w:r w:rsidRPr="004234B3">
        <w:rPr>
          <w:lang w:val="en-GB"/>
        </w:rPr>
        <w:t xml:space="preserve">dishes (27%, </w:t>
      </w:r>
      <w:r w:rsidRPr="004234B3">
        <w:rPr>
          <w:i/>
          <w:iCs/>
          <w:lang w:val="en-GB"/>
        </w:rPr>
        <w:t>p</w:t>
      </w:r>
      <w:r w:rsidR="004234B3" w:rsidRPr="004234B3">
        <w:rPr>
          <w:lang w:val="en-GB"/>
        </w:rPr>
        <w:t xml:space="preserve"> </w:t>
      </w:r>
      <w:r w:rsidRPr="004234B3">
        <w:rPr>
          <w:lang w:val="en-GB"/>
        </w:rPr>
        <w:t>&lt;</w:t>
      </w:r>
      <w:r w:rsidR="004234B3" w:rsidRPr="004234B3">
        <w:rPr>
          <w:lang w:val="en-GB"/>
        </w:rPr>
        <w:t xml:space="preserve"> </w:t>
      </w:r>
      <w:r w:rsidRPr="004234B3">
        <w:rPr>
          <w:lang w:val="en-GB"/>
        </w:rPr>
        <w:t xml:space="preserve">0.001), </w:t>
      </w:r>
      <w:r w:rsidR="004234B3" w:rsidRPr="004234B3">
        <w:rPr>
          <w:lang w:val="en-GB"/>
        </w:rPr>
        <w:t xml:space="preserve">counterchecking by another staff </w:t>
      </w:r>
      <w:r w:rsidRPr="004234B3">
        <w:rPr>
          <w:lang w:val="en-GB"/>
        </w:rPr>
        <w:t xml:space="preserve">(13%, </w:t>
      </w:r>
      <w:r w:rsidRPr="004234B3">
        <w:rPr>
          <w:i/>
          <w:iCs/>
          <w:lang w:val="en-GB"/>
        </w:rPr>
        <w:t>p</w:t>
      </w:r>
      <w:r w:rsidR="004234B3" w:rsidRPr="004234B3">
        <w:rPr>
          <w:lang w:val="en-GB"/>
        </w:rPr>
        <w:t xml:space="preserve"> </w:t>
      </w:r>
      <w:r w:rsidRPr="004234B3">
        <w:rPr>
          <w:lang w:val="en-GB"/>
        </w:rPr>
        <w:t>=</w:t>
      </w:r>
      <w:r w:rsidR="004234B3" w:rsidRPr="004234B3">
        <w:rPr>
          <w:lang w:val="en-GB"/>
        </w:rPr>
        <w:t xml:space="preserve"> </w:t>
      </w:r>
      <w:r w:rsidRPr="004234B3">
        <w:rPr>
          <w:lang w:val="en-GB"/>
        </w:rPr>
        <w:t xml:space="preserve">0.03), and </w:t>
      </w:r>
      <w:r w:rsidR="004234B3" w:rsidRPr="004234B3">
        <w:rPr>
          <w:lang w:val="en-GB"/>
        </w:rPr>
        <w:t>verification of patient’s allergies</w:t>
      </w:r>
      <w:r w:rsidRPr="004234B3">
        <w:rPr>
          <w:lang w:val="en-GB"/>
        </w:rPr>
        <w:t xml:space="preserve"> (28%, </w:t>
      </w:r>
      <w:r w:rsidRPr="004234B3">
        <w:rPr>
          <w:i/>
          <w:iCs/>
          <w:lang w:val="en-GB"/>
        </w:rPr>
        <w:t>p</w:t>
      </w:r>
      <w:r w:rsidR="004234B3" w:rsidRPr="004234B3">
        <w:rPr>
          <w:lang w:val="en-GB"/>
        </w:rPr>
        <w:t xml:space="preserve"> </w:t>
      </w:r>
      <w:r w:rsidRPr="004234B3">
        <w:rPr>
          <w:lang w:val="en-GB"/>
        </w:rPr>
        <w:t>=</w:t>
      </w:r>
      <w:r w:rsidR="004234B3" w:rsidRPr="004234B3">
        <w:rPr>
          <w:lang w:val="en-GB"/>
        </w:rPr>
        <w:t xml:space="preserve"> </w:t>
      </w:r>
      <w:r w:rsidRPr="004234B3">
        <w:rPr>
          <w:lang w:val="en-GB"/>
        </w:rPr>
        <w:t>0.002).</w:t>
      </w:r>
    </w:p>
    <w:p w14:paraId="1D8656D7" w14:textId="77777777" w:rsidR="00D5577A" w:rsidRPr="004234B3" w:rsidRDefault="00D5577A" w:rsidP="006C00B8">
      <w:pPr>
        <w:pStyle w:val="Body"/>
        <w:jc w:val="both"/>
        <w:rPr>
          <w:lang w:val="en-GB"/>
        </w:rPr>
      </w:pPr>
    </w:p>
    <w:p w14:paraId="45BE2503" w14:textId="44013D99" w:rsidR="00D5577A" w:rsidRPr="004234B3" w:rsidRDefault="00000000" w:rsidP="006C00B8">
      <w:pPr>
        <w:pStyle w:val="Body"/>
        <w:jc w:val="both"/>
        <w:rPr>
          <w:lang w:val="en-GB"/>
        </w:rPr>
      </w:pPr>
      <w:r w:rsidRPr="004234B3">
        <w:rPr>
          <w:lang w:val="en-GB"/>
        </w:rPr>
        <w:t>Conc</w:t>
      </w:r>
      <w:r w:rsidR="004234B3" w:rsidRPr="004234B3">
        <w:rPr>
          <w:lang w:val="en-GB"/>
        </w:rPr>
        <w:t xml:space="preserve">lusion: </w:t>
      </w:r>
    </w:p>
    <w:p w14:paraId="2A9EB2B1" w14:textId="2264F797" w:rsidR="00D5577A" w:rsidRPr="006C00B8" w:rsidRDefault="00000000" w:rsidP="006C00B8">
      <w:pPr>
        <w:pStyle w:val="Body"/>
        <w:jc w:val="both"/>
        <w:rPr>
          <w:lang w:val="en-GB"/>
        </w:rPr>
      </w:pPr>
      <w:r w:rsidRPr="004234B3">
        <w:rPr>
          <w:lang w:val="en-GB"/>
        </w:rPr>
        <w:t xml:space="preserve">This audit identifies critical areas of non-compliance </w:t>
      </w:r>
      <w:r w:rsidR="00950D78">
        <w:rPr>
          <w:lang w:val="en-GB"/>
        </w:rPr>
        <w:t>of</w:t>
      </w:r>
      <w:r w:rsidRPr="004234B3">
        <w:rPr>
          <w:lang w:val="en-GB"/>
        </w:rPr>
        <w:t xml:space="preserve"> medication safety</w:t>
      </w:r>
      <w:r w:rsidR="00950D78">
        <w:rPr>
          <w:lang w:val="en-GB"/>
        </w:rPr>
        <w:t xml:space="preserve"> in </w:t>
      </w:r>
      <w:r w:rsidR="004234B3" w:rsidRPr="004234B3">
        <w:rPr>
          <w:lang w:val="en-GB"/>
        </w:rPr>
        <w:t>ED. Contributing f</w:t>
      </w:r>
      <w:r w:rsidRPr="004234B3">
        <w:rPr>
          <w:lang w:val="en-GB"/>
        </w:rPr>
        <w:t xml:space="preserve">actors include </w:t>
      </w:r>
      <w:r w:rsidR="00F650A3">
        <w:rPr>
          <w:lang w:val="en-GB"/>
        </w:rPr>
        <w:t>communication gap</w:t>
      </w:r>
      <w:r w:rsidR="006C00B8">
        <w:rPr>
          <w:lang w:val="en-GB"/>
        </w:rPr>
        <w:t xml:space="preserve"> among healthcare providers and </w:t>
      </w:r>
      <w:r w:rsidRPr="004234B3">
        <w:rPr>
          <w:lang w:val="en-GB"/>
        </w:rPr>
        <w:t xml:space="preserve">workload pressures, especially in </w:t>
      </w:r>
      <w:r w:rsidR="00F650A3">
        <w:rPr>
          <w:lang w:val="en-GB"/>
        </w:rPr>
        <w:t>high-risk situation involving high-risk patient in</w:t>
      </w:r>
      <w:r w:rsidRPr="004234B3">
        <w:rPr>
          <w:lang w:val="en-GB"/>
        </w:rPr>
        <w:t xml:space="preserve"> red zone. Strategies to mitigate </w:t>
      </w:r>
      <w:r w:rsidR="00F650A3">
        <w:rPr>
          <w:lang w:val="en-GB"/>
        </w:rPr>
        <w:t>inherent risk</w:t>
      </w:r>
      <w:r w:rsidRPr="004234B3">
        <w:rPr>
          <w:lang w:val="en-GB"/>
        </w:rPr>
        <w:t xml:space="preserve"> should prioritize </w:t>
      </w:r>
      <w:r w:rsidR="00F650A3">
        <w:rPr>
          <w:lang w:val="en-GB"/>
        </w:rPr>
        <w:t xml:space="preserve">in bridging the knowledge gap </w:t>
      </w:r>
      <w:r w:rsidR="00F650A3">
        <w:rPr>
          <w:lang w:val="en-GB"/>
        </w:rPr>
        <w:lastRenderedPageBreak/>
        <w:t xml:space="preserve">on medication </w:t>
      </w:r>
      <w:r w:rsidR="00F650A3" w:rsidRPr="006C00B8">
        <w:rPr>
          <w:lang w:val="en-GB"/>
        </w:rPr>
        <w:t xml:space="preserve">preparation and administration, improving </w:t>
      </w:r>
      <w:r w:rsidR="006C00B8">
        <w:rPr>
          <w:lang w:val="en-GB"/>
        </w:rPr>
        <w:t xml:space="preserve">healthcare providers’ </w:t>
      </w:r>
      <w:r w:rsidRPr="006C00B8">
        <w:rPr>
          <w:lang w:val="en-GB"/>
        </w:rPr>
        <w:t xml:space="preserve">awareness </w:t>
      </w:r>
      <w:r w:rsidR="00F650A3" w:rsidRPr="006C00B8">
        <w:rPr>
          <w:lang w:val="en-GB"/>
        </w:rPr>
        <w:t xml:space="preserve">on medication safety and errors </w:t>
      </w:r>
      <w:r w:rsidRPr="006C00B8">
        <w:rPr>
          <w:lang w:val="en-GB"/>
        </w:rPr>
        <w:t>through</w:t>
      </w:r>
      <w:r w:rsidR="006C00B8">
        <w:rPr>
          <w:lang w:val="en-GB"/>
        </w:rPr>
        <w:t xml:space="preserve"> </w:t>
      </w:r>
      <w:r w:rsidR="00F650A3" w:rsidRPr="006C00B8">
        <w:rPr>
          <w:lang w:val="en-GB"/>
        </w:rPr>
        <w:t>C</w:t>
      </w:r>
      <w:r w:rsidRPr="006C00B8">
        <w:rPr>
          <w:lang w:val="en-GB"/>
        </w:rPr>
        <w:t>ontinui</w:t>
      </w:r>
      <w:r w:rsidR="00F650A3" w:rsidRPr="006C00B8">
        <w:rPr>
          <w:lang w:val="en-GB"/>
        </w:rPr>
        <w:t>ng M</w:t>
      </w:r>
      <w:r w:rsidRPr="006C00B8">
        <w:rPr>
          <w:lang w:val="en-GB"/>
        </w:rPr>
        <w:t xml:space="preserve">edical </w:t>
      </w:r>
      <w:r w:rsidR="00F650A3" w:rsidRPr="006C00B8">
        <w:rPr>
          <w:lang w:val="en-GB"/>
        </w:rPr>
        <w:t>E</w:t>
      </w:r>
      <w:r w:rsidRPr="006C00B8">
        <w:rPr>
          <w:lang w:val="en-GB"/>
        </w:rPr>
        <w:t>ducation (CME) and optimi</w:t>
      </w:r>
      <w:r w:rsidR="00F650A3" w:rsidRPr="006C00B8">
        <w:rPr>
          <w:lang w:val="en-GB"/>
        </w:rPr>
        <w:t>s</w:t>
      </w:r>
      <w:r w:rsidRPr="006C00B8">
        <w:rPr>
          <w:lang w:val="en-GB"/>
        </w:rPr>
        <w:t>ing staff</w:t>
      </w:r>
      <w:r w:rsidR="00F650A3" w:rsidRPr="006C00B8">
        <w:rPr>
          <w:lang w:val="en-GB"/>
        </w:rPr>
        <w:t xml:space="preserve"> numbers</w:t>
      </w:r>
      <w:r w:rsidRPr="006C00B8">
        <w:rPr>
          <w:lang w:val="en-GB"/>
        </w:rPr>
        <w:t xml:space="preserve"> in high-stress zones.</w:t>
      </w:r>
    </w:p>
    <w:p w14:paraId="2539F889" w14:textId="77777777" w:rsidR="00D5577A" w:rsidRPr="006C00B8" w:rsidRDefault="00D5577A" w:rsidP="006C00B8">
      <w:pPr>
        <w:pStyle w:val="Body"/>
        <w:rPr>
          <w:lang w:val="en-GB"/>
        </w:rPr>
      </w:pPr>
    </w:p>
    <w:p w14:paraId="3C005724" w14:textId="77777777" w:rsidR="00D5577A" w:rsidRPr="006C00B8" w:rsidRDefault="00000000" w:rsidP="006C00B8">
      <w:pPr>
        <w:pStyle w:val="Body"/>
        <w:rPr>
          <w:lang w:val="en-GB"/>
        </w:rPr>
      </w:pPr>
      <w:r w:rsidRPr="006C00B8">
        <w:rPr>
          <w:lang w:val="en-GB"/>
        </w:rPr>
        <w:t>Keywords:</w:t>
      </w:r>
    </w:p>
    <w:p w14:paraId="6CD9EEA7" w14:textId="48584129" w:rsidR="00D5577A" w:rsidRPr="006C00B8" w:rsidRDefault="00000000" w:rsidP="006C00B8">
      <w:pPr>
        <w:pStyle w:val="Body"/>
        <w:rPr>
          <w:lang w:val="en-GB"/>
        </w:rPr>
      </w:pPr>
      <w:r w:rsidRPr="006C00B8">
        <w:rPr>
          <w:lang w:val="en-GB"/>
        </w:rPr>
        <w:t xml:space="preserve">Medication safety audit, medication administration, </w:t>
      </w:r>
      <w:r w:rsidR="00950D78">
        <w:rPr>
          <w:lang w:val="en-GB"/>
        </w:rPr>
        <w:t>compliance</w:t>
      </w:r>
    </w:p>
    <w:p w14:paraId="38D8A77A" w14:textId="77777777" w:rsidR="006C00B8" w:rsidRDefault="006C00B8" w:rsidP="006C00B8">
      <w:pPr>
        <w:pStyle w:val="Footnote"/>
        <w:spacing w:line="480" w:lineRule="auto"/>
        <w:rPr>
          <w:sz w:val="24"/>
          <w:szCs w:val="24"/>
          <w:lang w:val="en-GB"/>
        </w:rPr>
      </w:pPr>
    </w:p>
    <w:p w14:paraId="7FA55E72" w14:textId="3762EF4A" w:rsidR="00D5577A" w:rsidRPr="006C00B8" w:rsidRDefault="00000000" w:rsidP="006C00B8">
      <w:pPr>
        <w:pStyle w:val="Footnote"/>
        <w:spacing w:line="480" w:lineRule="auto"/>
        <w:rPr>
          <w:sz w:val="24"/>
          <w:szCs w:val="24"/>
          <w:lang w:val="en-GB"/>
        </w:rPr>
      </w:pPr>
      <w:r w:rsidRPr="006C00B8">
        <w:rPr>
          <w:sz w:val="24"/>
          <w:szCs w:val="24"/>
          <w:lang w:val="en-GB"/>
        </w:rPr>
        <w:t>Conflict of Interest Statement:</w:t>
      </w:r>
    </w:p>
    <w:p w14:paraId="7C97AE6E" w14:textId="77777777" w:rsidR="006C00B8" w:rsidRDefault="00000000" w:rsidP="006C00B8">
      <w:pPr>
        <w:pStyle w:val="Footnote"/>
        <w:spacing w:line="480" w:lineRule="auto"/>
        <w:rPr>
          <w:sz w:val="24"/>
          <w:szCs w:val="24"/>
          <w:lang w:val="en-GB"/>
        </w:rPr>
      </w:pPr>
      <w:r w:rsidRPr="006C00B8">
        <w:rPr>
          <w:sz w:val="24"/>
          <w:szCs w:val="24"/>
          <w:lang w:val="en-GB"/>
        </w:rPr>
        <w:t>The authors declare no financial support or conflicts of interest related to this study.</w:t>
      </w:r>
    </w:p>
    <w:p w14:paraId="403E1939" w14:textId="77777777" w:rsidR="006C00B8" w:rsidRDefault="006C00B8" w:rsidP="006C00B8">
      <w:pPr>
        <w:pStyle w:val="Footnote"/>
        <w:spacing w:line="480" w:lineRule="auto"/>
        <w:rPr>
          <w:sz w:val="24"/>
          <w:szCs w:val="24"/>
          <w:lang w:val="en-GB"/>
        </w:rPr>
      </w:pPr>
    </w:p>
    <w:p w14:paraId="3105FB65" w14:textId="1D3C98D1" w:rsidR="00D5577A" w:rsidRPr="006C00B8" w:rsidRDefault="00000000" w:rsidP="006C00B8">
      <w:pPr>
        <w:pStyle w:val="Footnote"/>
        <w:spacing w:line="480" w:lineRule="auto"/>
        <w:rPr>
          <w:sz w:val="24"/>
          <w:szCs w:val="24"/>
          <w:lang w:val="en-GB"/>
        </w:rPr>
      </w:pPr>
      <w:r w:rsidRPr="006C00B8">
        <w:rPr>
          <w:sz w:val="24"/>
          <w:szCs w:val="24"/>
          <w:lang w:val="en-GB"/>
        </w:rPr>
        <w:t xml:space="preserve">Word Count excluding title and keywords: </w:t>
      </w:r>
      <w:r w:rsidR="00147E84">
        <w:rPr>
          <w:sz w:val="24"/>
          <w:szCs w:val="24"/>
          <w:lang w:val="en-GB"/>
        </w:rPr>
        <w:t>350</w:t>
      </w:r>
    </w:p>
    <w:sectPr w:rsidR="00D5577A" w:rsidRPr="006C00B8">
      <w:headerReference w:type="default" r:id="rId6"/>
      <w:footerReference w:type="default" r:id="rId7"/>
      <w:pgSz w:w="11900" w:h="16840"/>
      <w:pgMar w:top="1440" w:right="1247" w:bottom="1440" w:left="1247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B5A8" w14:textId="77777777" w:rsidR="00A76E7B" w:rsidRDefault="00A76E7B">
      <w:r>
        <w:separator/>
      </w:r>
    </w:p>
  </w:endnote>
  <w:endnote w:type="continuationSeparator" w:id="0">
    <w:p w14:paraId="6F52A083" w14:textId="77777777" w:rsidR="00A76E7B" w:rsidRDefault="00A7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19DB" w14:textId="77777777" w:rsidR="00D5577A" w:rsidRDefault="00000000">
    <w:pPr>
      <w:pStyle w:val="HeaderFooter"/>
      <w:tabs>
        <w:tab w:val="clear" w:pos="9020"/>
        <w:tab w:val="center" w:pos="4703"/>
        <w:tab w:val="right" w:pos="9406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1C7771">
      <w:rPr>
        <w:noProof/>
      </w:rPr>
      <w:t>1</w:t>
    </w:r>
    <w:r>
      <w:fldChar w:fldCharType="end"/>
    </w:r>
    <w:r>
      <w:rPr>
        <w:lang w:val="en-US"/>
      </w:rP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1C777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AE49" w14:textId="77777777" w:rsidR="00A76E7B" w:rsidRDefault="00A76E7B">
      <w:r>
        <w:separator/>
      </w:r>
    </w:p>
  </w:footnote>
  <w:footnote w:type="continuationSeparator" w:id="0">
    <w:p w14:paraId="5A7D3471" w14:textId="77777777" w:rsidR="00A76E7B" w:rsidRDefault="00A76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C04D" w14:textId="77777777" w:rsidR="00D5577A" w:rsidRDefault="00D557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77A"/>
    <w:rsid w:val="001203D6"/>
    <w:rsid w:val="00147E84"/>
    <w:rsid w:val="00171135"/>
    <w:rsid w:val="001C7771"/>
    <w:rsid w:val="002270CA"/>
    <w:rsid w:val="004234B3"/>
    <w:rsid w:val="004714E1"/>
    <w:rsid w:val="006C00B8"/>
    <w:rsid w:val="00852A80"/>
    <w:rsid w:val="00950D78"/>
    <w:rsid w:val="00A76E7B"/>
    <w:rsid w:val="00AA4B14"/>
    <w:rsid w:val="00B51ECE"/>
    <w:rsid w:val="00C51F71"/>
    <w:rsid w:val="00D5577A"/>
    <w:rsid w:val="00F650A3"/>
    <w:rsid w:val="00FD1A27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82D7C"/>
  <w15:docId w15:val="{BC7F91E2-6238-784B-8290-7BCC8121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MY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2"/>
    <w:uiPriority w:val="10"/>
    <w:qFormat/>
    <w:pPr>
      <w:keepNext/>
      <w:spacing w:line="480" w:lineRule="auto"/>
      <w:jc w:val="center"/>
      <w:outlineLvl w:val="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pPr>
      <w:spacing w:line="480" w:lineRule="auto"/>
      <w:ind w:firstLine="72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480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3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3">
    <w:name w:val="Body 3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Footnote">
    <w:name w:val="Footnote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0_ResearchPaper">
  <a:themeElements>
    <a:clrScheme name="00_ResearchPaper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ResearchPaper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0_ResearchPap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AMIRUL IKHMAR</cp:lastModifiedBy>
  <cp:revision>7</cp:revision>
  <dcterms:created xsi:type="dcterms:W3CDTF">2024-05-29T11:43:00Z</dcterms:created>
  <dcterms:modified xsi:type="dcterms:W3CDTF">2024-05-29T11:46:00Z</dcterms:modified>
</cp:coreProperties>
</file>