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7D417" w14:textId="77777777" w:rsidR="00B50A83" w:rsidRDefault="00000000">
      <w:pPr>
        <w:pStyle w:val="Title"/>
      </w:pPr>
      <w:r>
        <w:t>Abstract for Case Report</w:t>
      </w:r>
    </w:p>
    <w:p w14:paraId="299064F4" w14:textId="77777777" w:rsidR="00B50A83" w:rsidRDefault="00B50A83">
      <w:pPr>
        <w:pStyle w:val="Body"/>
      </w:pPr>
    </w:p>
    <w:p w14:paraId="237D9C04" w14:textId="77777777" w:rsidR="00B50A83" w:rsidRDefault="00000000">
      <w:pPr>
        <w:pStyle w:val="Body"/>
      </w:pPr>
      <w:r>
        <w:rPr>
          <w:rFonts w:eastAsia="Arial Unicode MS" w:cs="Arial Unicode MS"/>
          <w:lang w:val="en-US"/>
        </w:rPr>
        <w:t>Authors:</w:t>
      </w:r>
    </w:p>
    <w:p w14:paraId="24D701D9" w14:textId="5E8E0DDF" w:rsidR="00B50A83" w:rsidRDefault="00000000">
      <w:pPr>
        <w:pStyle w:val="Body"/>
      </w:pPr>
      <w:r>
        <w:rPr>
          <w:rFonts w:eastAsia="Arial Unicode MS" w:cs="Arial Unicode MS"/>
          <w:lang w:val="en-US"/>
        </w:rPr>
        <w:t>Lim Yunn Li,</w:t>
      </w:r>
      <w:r>
        <w:rPr>
          <w:rFonts w:eastAsia="Arial Unicode MS" w:cs="Arial Unicode MS"/>
        </w:rPr>
        <w:t xml:space="preserve"> </w:t>
      </w:r>
      <w:r>
        <w:rPr>
          <w:rFonts w:eastAsia="Arial Unicode MS" w:cs="Arial Unicode MS"/>
          <w:lang w:val="en-US"/>
        </w:rPr>
        <w:t>Seri Diana</w:t>
      </w:r>
      <w:r w:rsidR="00E72E67">
        <w:rPr>
          <w:rFonts w:eastAsia="Arial Unicode MS" w:cs="Arial Unicode MS"/>
          <w:lang w:val="en-US"/>
        </w:rPr>
        <w:t xml:space="preserve"> Binti Mahmud Affandi</w:t>
      </w:r>
      <w:r>
        <w:rPr>
          <w:rFonts w:eastAsia="Arial Unicode MS" w:cs="Arial Unicode MS"/>
          <w:lang w:val="en-US"/>
        </w:rPr>
        <w:t>, Mohd Zaim Bin Abdullah Zawawi Emergency Department, Sarawak General Hospital, Kuching, Sarawak, Malaysia</w:t>
      </w:r>
    </w:p>
    <w:p w14:paraId="676EA4BE" w14:textId="77777777" w:rsidR="00B50A83" w:rsidRDefault="00B50A83">
      <w:pPr>
        <w:pStyle w:val="Body"/>
      </w:pPr>
    </w:p>
    <w:p w14:paraId="1AB2EEBC" w14:textId="77777777" w:rsidR="00B50A83" w:rsidRDefault="00000000">
      <w:pPr>
        <w:pStyle w:val="Heading"/>
      </w:pPr>
      <w:r>
        <w:t>Title: Dual Threat: Concurrent Cerebral Toxoplasmosis and Inferior Wall STEMI in a 45-Year-Old Patient with Advanced HIV</w:t>
      </w:r>
    </w:p>
    <w:p w14:paraId="5D7D5060" w14:textId="77777777" w:rsidR="00B50A83" w:rsidRDefault="00B50A83">
      <w:pPr>
        <w:pStyle w:val="Body2"/>
      </w:pPr>
    </w:p>
    <w:p w14:paraId="2B8167EA" w14:textId="360D2E7D" w:rsidR="00B50A83" w:rsidRDefault="00612159">
      <w:pPr>
        <w:pStyle w:val="Body"/>
      </w:pPr>
      <w:r>
        <w:rPr>
          <w:rFonts w:eastAsia="Arial Unicode MS" w:cs="Arial Unicode MS"/>
          <w:lang w:val="en-US"/>
        </w:rPr>
        <w:t>Introduction</w:t>
      </w:r>
      <w:r w:rsidR="00000000">
        <w:rPr>
          <w:rFonts w:eastAsia="Arial Unicode MS" w:cs="Arial Unicode MS"/>
          <w:lang w:val="en-US"/>
        </w:rPr>
        <w:t>: In patients with advanced HIV, cerebral toxoplasmosis is a serious opportunistic illness that frequently manifests as neurological impairments. Rarely, cerebral toxoplasmosis and acute myocardial infarction—especially ST-Elevation myocardial infarction (STEMI)—occur together, posing difficult diagnostic and treatment challenges.</w:t>
      </w:r>
    </w:p>
    <w:p w14:paraId="1E7C4B36" w14:textId="77777777" w:rsidR="00B50A83" w:rsidRDefault="00B50A83">
      <w:pPr>
        <w:pStyle w:val="Body"/>
      </w:pPr>
    </w:p>
    <w:p w14:paraId="215E09DF" w14:textId="77777777" w:rsidR="00B50A83" w:rsidRDefault="00000000">
      <w:pPr>
        <w:pStyle w:val="Body"/>
      </w:pPr>
      <w:r>
        <w:rPr>
          <w:rFonts w:eastAsia="Arial Unicode MS" w:cs="Arial Unicode MS"/>
          <w:lang w:val="en-US"/>
        </w:rPr>
        <w:t>Case Presentation: A 45-year-old man with a history of diabetes mellitus, hypertension, dyslipidemia, and HIV presented to the emergency department in acute disorientation and nonresponsiveness. Neurological evaluation revealed left-sided abnormalities.</w:t>
      </w:r>
    </w:p>
    <w:p w14:paraId="2B32F40C" w14:textId="0F2DBBD5" w:rsidR="00B50A83" w:rsidRDefault="00000000">
      <w:pPr>
        <w:pStyle w:val="Body"/>
      </w:pPr>
      <w:r>
        <w:rPr>
          <w:rFonts w:eastAsia="Arial Unicode MS" w:cs="Arial Unicode MS"/>
          <w:lang w:val="en-US"/>
        </w:rPr>
        <w:t>CT brain imaging showed hyperdensity in the left thalamus, suggestive of previously treated toxoplasmosis, and new hypodensity in the right cerebellar hemisphere with surrounding edema. Additionally, an ECG indicated ST-elevation in the inferior leads, consistent with an inferior wall STEMI.</w:t>
      </w:r>
    </w:p>
    <w:p w14:paraId="2F47AE30" w14:textId="688B9DAA" w:rsidR="00B50A83" w:rsidRDefault="00000000">
      <w:pPr>
        <w:pStyle w:val="Body"/>
      </w:pPr>
      <w:r>
        <w:rPr>
          <w:rFonts w:eastAsia="Arial Unicode MS" w:cs="Arial Unicode MS"/>
          <w:lang w:val="en-US"/>
        </w:rPr>
        <w:t xml:space="preserve">The patient was evaluated for thrombolysis; however, due to the high risk of bleeding with alteplase, thrombolysis was not recommended. Instead, a percutaneous coronary intervention (PCI) was advised. Coronary angiography revealed double-vessel disease </w:t>
      </w:r>
      <w:r>
        <w:rPr>
          <w:rFonts w:eastAsia="Arial Unicode MS" w:cs="Arial Unicode MS"/>
          <w:lang w:val="en-US"/>
        </w:rPr>
        <w:lastRenderedPageBreak/>
        <w:t>with spontaneous reperfusion of the right coronary artery (RCA), so no PCI was performed. The patient was treated medically with double antiplatelet therapy and referred back to Sarawak General Hospital with outpatient cardiology follow-up. The stable left thalamus hyperdensity and evolving posterior circulation infarct on subsequent CECT brain scans suggested prior toxoplasmosis treatment. The patient was discharged with follow-up appointments for neuromedical and rehabilitative care.</w:t>
      </w:r>
    </w:p>
    <w:p w14:paraId="6BF22480" w14:textId="77777777" w:rsidR="00B50A83" w:rsidRDefault="00B50A83">
      <w:pPr>
        <w:pStyle w:val="Body"/>
      </w:pPr>
    </w:p>
    <w:p w14:paraId="748FE3C0" w14:textId="2D35F692" w:rsidR="00612159" w:rsidRDefault="00E72E67">
      <w:pPr>
        <w:pStyle w:val="Body"/>
        <w:rPr>
          <w:rFonts w:eastAsia="Arial Unicode MS" w:cs="Arial Unicode MS"/>
          <w:lang w:val="en-US"/>
        </w:rPr>
      </w:pPr>
      <w:r>
        <w:rPr>
          <w:rFonts w:eastAsia="Arial Unicode MS" w:cs="Arial Unicode MS"/>
          <w:lang w:val="en-US"/>
        </w:rPr>
        <w:t>Discussion</w:t>
      </w:r>
      <w:r w:rsidR="00612159">
        <w:rPr>
          <w:rFonts w:eastAsia="Arial Unicode MS" w:cs="Arial Unicode MS"/>
          <w:lang w:val="en-US"/>
        </w:rPr>
        <w:t>:</w:t>
      </w:r>
      <w:r w:rsidR="00612159" w:rsidRPr="00612159">
        <w:t xml:space="preserve"> </w:t>
      </w:r>
      <w:r w:rsidR="00612159" w:rsidRPr="00612159">
        <w:rPr>
          <w:rFonts w:eastAsia="Arial Unicode MS" w:cs="Arial Unicode MS"/>
          <w:lang w:val="en-US"/>
        </w:rPr>
        <w:t>The concurrent presentation of cerebral toxoplasmosis and acute myocardial infarction in this patient with advanced HIV infection underscores the complexity of managing multiple comorbidities in such individuals. The immunocompromised state predisposes patients to opportunistic infections like toxoplasmosis, while chronic inflammation and endothelial dysfunction increase the risk of cardiovascular events. Timely diagnosis and management of both conditions are crucia</w:t>
      </w:r>
      <w:r w:rsidR="00612159">
        <w:rPr>
          <w:rFonts w:eastAsia="Arial Unicode MS" w:cs="Arial Unicode MS"/>
          <w:lang w:val="en-US"/>
        </w:rPr>
        <w:t>l.</w:t>
      </w:r>
    </w:p>
    <w:p w14:paraId="47C7BE6C" w14:textId="77777777" w:rsidR="00612159" w:rsidRDefault="00612159">
      <w:pPr>
        <w:pStyle w:val="Body"/>
        <w:rPr>
          <w:rFonts w:eastAsia="Arial Unicode MS" w:cs="Arial Unicode MS"/>
          <w:lang w:val="en-US"/>
        </w:rPr>
      </w:pPr>
    </w:p>
    <w:p w14:paraId="436F4420" w14:textId="4F2133A9" w:rsidR="00B50A83" w:rsidRDefault="00000000">
      <w:pPr>
        <w:pStyle w:val="Body"/>
      </w:pPr>
      <w:r>
        <w:rPr>
          <w:rFonts w:eastAsia="Arial Unicode MS" w:cs="Arial Unicode MS"/>
          <w:lang w:val="en-US"/>
        </w:rPr>
        <w:t>Conclusion: This case illustrates the complex interplay between opportunistic infections and cardiovascular complications in HIV patients. It underscores the importance of comprehensive, multidisciplinary management approaches to address the multifaceted medical needs of these patients. Further studies are warranted to develop optimized protocols for such complex clinical scenarios.</w:t>
      </w:r>
    </w:p>
    <w:p w14:paraId="1E9562C2" w14:textId="77777777" w:rsidR="00B50A83" w:rsidRDefault="00B50A83">
      <w:pPr>
        <w:pStyle w:val="Body"/>
      </w:pPr>
    </w:p>
    <w:p w14:paraId="63FA6BDD" w14:textId="77777777" w:rsidR="00B50A83" w:rsidRDefault="00000000">
      <w:pPr>
        <w:pStyle w:val="Body"/>
      </w:pPr>
      <w:r>
        <w:rPr>
          <w:rFonts w:eastAsia="Arial Unicode MS" w:cs="Arial Unicode MS"/>
          <w:lang w:val="de-DE"/>
        </w:rPr>
        <w:t>Keywords: Toxoplasmosis, HIV, STEMI</w:t>
      </w:r>
    </w:p>
    <w:p w14:paraId="1908F0C1" w14:textId="77777777" w:rsidR="00B50A83" w:rsidRDefault="00B50A83">
      <w:pPr>
        <w:pStyle w:val="Body"/>
      </w:pPr>
    </w:p>
    <w:p w14:paraId="0708CC12" w14:textId="77777777" w:rsidR="00B50A83" w:rsidRDefault="00000000">
      <w:pPr>
        <w:pStyle w:val="Body"/>
        <w:rPr>
          <w:i/>
          <w:iCs/>
        </w:rPr>
      </w:pPr>
      <w:r>
        <w:rPr>
          <w:i/>
          <w:iCs/>
          <w:lang w:val="en-US"/>
        </w:rPr>
        <w:t>No financial interest.</w:t>
      </w:r>
    </w:p>
    <w:p w14:paraId="77898B9A" w14:textId="77777777" w:rsidR="00B50A83" w:rsidRDefault="00B50A83">
      <w:pPr>
        <w:pStyle w:val="Body"/>
        <w:rPr>
          <w:i/>
          <w:iCs/>
        </w:rPr>
      </w:pPr>
    </w:p>
    <w:p w14:paraId="72BD9492" w14:textId="49EBCEB4" w:rsidR="00B50A83" w:rsidRDefault="00000000">
      <w:pPr>
        <w:pStyle w:val="Body"/>
      </w:pPr>
      <w:r>
        <w:rPr>
          <w:i/>
          <w:iCs/>
          <w:lang w:val="en-US"/>
        </w:rPr>
        <w:lastRenderedPageBreak/>
        <w:t xml:space="preserve">Word counts excluding title and keywords: </w:t>
      </w:r>
      <w:r w:rsidR="00612159">
        <w:rPr>
          <w:i/>
          <w:iCs/>
          <w:lang w:val="en-US"/>
        </w:rPr>
        <w:t>315</w:t>
      </w:r>
    </w:p>
    <w:sectPr w:rsidR="00B50A83">
      <w:headerReference w:type="default" r:id="rId6"/>
      <w:footerReference w:type="default" r:id="rId7"/>
      <w:pgSz w:w="11900" w:h="16840"/>
      <w:pgMar w:top="1440" w:right="1247" w:bottom="1440" w:left="1247"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67618" w14:textId="77777777" w:rsidR="00481FF1" w:rsidRDefault="00481FF1">
      <w:r>
        <w:separator/>
      </w:r>
    </w:p>
  </w:endnote>
  <w:endnote w:type="continuationSeparator" w:id="0">
    <w:p w14:paraId="33C3570D" w14:textId="77777777" w:rsidR="00481FF1" w:rsidRDefault="0048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BF95" w14:textId="77777777" w:rsidR="00B50A83" w:rsidRDefault="00000000">
    <w:pPr>
      <w:pStyle w:val="HeaderFooter"/>
      <w:tabs>
        <w:tab w:val="clear" w:pos="9020"/>
        <w:tab w:val="center" w:pos="4703"/>
        <w:tab w:val="right" w:pos="9406"/>
      </w:tabs>
    </w:pPr>
    <w:r>
      <w:tab/>
    </w:r>
    <w:r>
      <w:fldChar w:fldCharType="begin"/>
    </w:r>
    <w:r>
      <w:instrText xml:space="preserve"> PAGE </w:instrText>
    </w:r>
    <w:r>
      <w:fldChar w:fldCharType="separate"/>
    </w:r>
    <w:r w:rsidR="00E72E67">
      <w:rPr>
        <w:noProof/>
      </w:rPr>
      <w:t>1</w:t>
    </w:r>
    <w:r>
      <w:fldChar w:fldCharType="end"/>
    </w:r>
    <w:r>
      <w:rPr>
        <w:lang w:val="en-US"/>
      </w:rPr>
      <w:t xml:space="preserve"> of </w:t>
    </w:r>
    <w:r>
      <w:fldChar w:fldCharType="begin"/>
    </w:r>
    <w:r>
      <w:instrText xml:space="preserve"> NUMPAGES </w:instrText>
    </w:r>
    <w:r>
      <w:fldChar w:fldCharType="separate"/>
    </w:r>
    <w:r w:rsidR="00E72E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B08A1" w14:textId="77777777" w:rsidR="00481FF1" w:rsidRDefault="00481FF1">
      <w:r>
        <w:separator/>
      </w:r>
    </w:p>
  </w:footnote>
  <w:footnote w:type="continuationSeparator" w:id="0">
    <w:p w14:paraId="12818A5B" w14:textId="77777777" w:rsidR="00481FF1" w:rsidRDefault="0048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7E48" w14:textId="77777777" w:rsidR="00B50A83" w:rsidRDefault="00B50A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83"/>
    <w:rsid w:val="00481FF1"/>
    <w:rsid w:val="00537603"/>
    <w:rsid w:val="00550135"/>
    <w:rsid w:val="00612159"/>
    <w:rsid w:val="00B50A83"/>
    <w:rsid w:val="00E72E67"/>
    <w:rsid w:val="00FF763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6CD9"/>
  <w15:docId w15:val="{8EFFB9DC-E95E-4A57-B609-C176A3A1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MY"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2"/>
    <w:uiPriority w:val="10"/>
    <w:qFormat/>
    <w:pPr>
      <w:keepNext/>
      <w:spacing w:line="480" w:lineRule="auto"/>
      <w:jc w:val="center"/>
      <w:outlineLvl w:val="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2">
    <w:name w:val="Body 2"/>
    <w:pPr>
      <w:spacing w:line="480" w:lineRule="auto"/>
      <w:ind w:firstLine="72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pPr>
      <w:spacing w:line="480"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3"/>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3">
    <w:name w:val="Body 3"/>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Yunn Li Lim</cp:lastModifiedBy>
  <cp:revision>5</cp:revision>
  <dcterms:created xsi:type="dcterms:W3CDTF">2024-05-29T08:20:00Z</dcterms:created>
  <dcterms:modified xsi:type="dcterms:W3CDTF">2024-05-30T04:38:00Z</dcterms:modified>
</cp:coreProperties>
</file>