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EBAF4" w14:textId="649CDE11" w:rsidR="00122015" w:rsidRPr="00283227" w:rsidRDefault="005C629D" w:rsidP="004B726B">
      <w:pPr>
        <w:pStyle w:val="BodyTextIndent"/>
        <w:jc w:val="both"/>
      </w:pPr>
      <w:r w:rsidRPr="00283227">
        <w:t>Title: Bleeding Outcomes of Ticagrelor Loading Dose in ST-Elevation Myocardial Infarction Thrombolysis with Streptokinase and Tenecteplase</w:t>
      </w:r>
    </w:p>
    <w:p w14:paraId="3D236AB6" w14:textId="77777777" w:rsidR="00283227" w:rsidRPr="00283227" w:rsidRDefault="00283227" w:rsidP="004B726B">
      <w:pPr>
        <w:pStyle w:val="BodyTextIndent"/>
        <w:jc w:val="both"/>
      </w:pPr>
    </w:p>
    <w:p w14:paraId="27B73977" w14:textId="0325D49B" w:rsidR="00283227" w:rsidRPr="00283227" w:rsidRDefault="00283227" w:rsidP="00283227">
      <w:pPr>
        <w:pStyle w:val="BodyTextIndent"/>
        <w:jc w:val="center"/>
        <w:rPr>
          <w:b w:val="0"/>
          <w:bCs w:val="0"/>
        </w:rPr>
      </w:pPr>
      <w:r w:rsidRPr="00283227">
        <w:rPr>
          <w:b w:val="0"/>
          <w:bCs w:val="0"/>
        </w:rPr>
        <w:t>Hock Peng Koh</w:t>
      </w:r>
      <w:r w:rsidRPr="00283227">
        <w:rPr>
          <w:b w:val="0"/>
          <w:bCs w:val="0"/>
          <w:vertAlign w:val="superscript"/>
        </w:rPr>
        <w:t>1</w:t>
      </w:r>
      <w:r w:rsidRPr="00283227">
        <w:rPr>
          <w:b w:val="0"/>
          <w:bCs w:val="0"/>
        </w:rPr>
        <w:t xml:space="preserve">, </w:t>
      </w:r>
      <w:proofErr w:type="spellStart"/>
      <w:r w:rsidRPr="00283227">
        <w:rPr>
          <w:b w:val="0"/>
          <w:bCs w:val="0"/>
        </w:rPr>
        <w:t>Jivanraj</w:t>
      </w:r>
      <w:proofErr w:type="spellEnd"/>
      <w:r w:rsidRPr="00283227">
        <w:rPr>
          <w:b w:val="0"/>
          <w:bCs w:val="0"/>
        </w:rPr>
        <w:t xml:space="preserve"> R Nagarajah</w:t>
      </w:r>
      <w:r w:rsidRPr="00283227">
        <w:rPr>
          <w:b w:val="0"/>
          <w:bCs w:val="0"/>
          <w:vertAlign w:val="superscript"/>
        </w:rPr>
        <w:t>1</w:t>
      </w:r>
      <w:r w:rsidRPr="00283227">
        <w:rPr>
          <w:b w:val="0"/>
          <w:bCs w:val="0"/>
        </w:rPr>
        <w:t>, Sin Nan Lai</w:t>
      </w:r>
      <w:r w:rsidRPr="00283227">
        <w:rPr>
          <w:b w:val="0"/>
          <w:bCs w:val="0"/>
          <w:vertAlign w:val="superscript"/>
        </w:rPr>
        <w:t>2</w:t>
      </w:r>
    </w:p>
    <w:p w14:paraId="29DDFCEF" w14:textId="77777777" w:rsidR="00283227" w:rsidRPr="00283227" w:rsidRDefault="00283227" w:rsidP="00283227">
      <w:pPr>
        <w:pStyle w:val="BodyTextIndent"/>
        <w:jc w:val="center"/>
        <w:rPr>
          <w:b w:val="0"/>
          <w:bCs w:val="0"/>
        </w:rPr>
      </w:pPr>
    </w:p>
    <w:p w14:paraId="7B4D0A97" w14:textId="0E7EEBBE" w:rsidR="00283227" w:rsidRPr="00283227" w:rsidRDefault="00283227" w:rsidP="00283227">
      <w:pPr>
        <w:pStyle w:val="BodyTextIndent"/>
        <w:jc w:val="center"/>
        <w:rPr>
          <w:b w:val="0"/>
          <w:bCs w:val="0"/>
        </w:rPr>
      </w:pPr>
      <w:r w:rsidRPr="00283227">
        <w:rPr>
          <w:b w:val="0"/>
          <w:bCs w:val="0"/>
          <w:vertAlign w:val="superscript"/>
        </w:rPr>
        <w:t>1</w:t>
      </w:r>
      <w:r w:rsidRPr="00283227">
        <w:rPr>
          <w:b w:val="0"/>
          <w:bCs w:val="0"/>
        </w:rPr>
        <w:t xml:space="preserve">Pharmacy Department, Hospital Kuala Lumpur, Kuala Lumpur, Malaysia </w:t>
      </w:r>
    </w:p>
    <w:p w14:paraId="00243AC7" w14:textId="47C814B0" w:rsidR="00283227" w:rsidRPr="00283227" w:rsidRDefault="00283227" w:rsidP="00283227">
      <w:pPr>
        <w:pStyle w:val="BodyTextIndent"/>
        <w:jc w:val="center"/>
        <w:rPr>
          <w:b w:val="0"/>
          <w:bCs w:val="0"/>
        </w:rPr>
      </w:pPr>
      <w:r w:rsidRPr="00283227">
        <w:rPr>
          <w:b w:val="0"/>
          <w:bCs w:val="0"/>
          <w:vertAlign w:val="superscript"/>
        </w:rPr>
        <w:t>2</w:t>
      </w:r>
      <w:r w:rsidRPr="00283227">
        <w:rPr>
          <w:b w:val="0"/>
          <w:bCs w:val="0"/>
        </w:rPr>
        <w:t>Emergency and Trauma Department, Hospital Kuala Lumpur, Kuala Lumpur, Malaysia</w:t>
      </w:r>
    </w:p>
    <w:p w14:paraId="5F107885" w14:textId="77777777" w:rsidR="00283227" w:rsidRPr="00283227" w:rsidRDefault="00283227" w:rsidP="004B726B">
      <w:pPr>
        <w:pStyle w:val="BodyTextIndent"/>
        <w:jc w:val="both"/>
      </w:pPr>
    </w:p>
    <w:p w14:paraId="7A97022C" w14:textId="77777777" w:rsidR="00454070" w:rsidRPr="00283227" w:rsidRDefault="00454070">
      <w:pPr>
        <w:ind w:left="180"/>
      </w:pPr>
    </w:p>
    <w:tbl>
      <w:tblPr>
        <w:tblW w:w="8903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8903"/>
      </w:tblGrid>
      <w:tr w:rsidR="00454070" w:rsidRPr="00283227" w14:paraId="4A5E5AC4" w14:textId="77777777" w:rsidTr="00283227">
        <w:trPr>
          <w:trHeight w:hRule="exact" w:val="10715"/>
        </w:trPr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B4288" w14:textId="77777777" w:rsidR="005A32BC" w:rsidRPr="00283227" w:rsidRDefault="005A32BC" w:rsidP="00D764BE">
            <w:pPr>
              <w:jc w:val="both"/>
              <w:rPr>
                <w:b/>
                <w:bCs/>
              </w:rPr>
            </w:pPr>
            <w:r w:rsidRPr="00283227">
              <w:rPr>
                <w:b/>
                <w:bCs/>
              </w:rPr>
              <w:t>Introduction</w:t>
            </w:r>
            <w:r w:rsidR="00F37CCA" w:rsidRPr="00283227">
              <w:rPr>
                <w:b/>
                <w:bCs/>
              </w:rPr>
              <w:t xml:space="preserve"> </w:t>
            </w:r>
          </w:p>
          <w:p w14:paraId="4397B6C4" w14:textId="6F0BDF8A" w:rsidR="00B04DAB" w:rsidRPr="00283227" w:rsidRDefault="00B04DAB" w:rsidP="00D764BE">
            <w:pPr>
              <w:jc w:val="both"/>
            </w:pPr>
            <w:r w:rsidRPr="00283227">
              <w:t>Asian populations treated with ticagrelor were reported to have a higher bleeding risk despite its reported superiority</w:t>
            </w:r>
            <w:r w:rsidR="0002721B" w:rsidRPr="00283227">
              <w:t xml:space="preserve"> over clopidogrel</w:t>
            </w:r>
            <w:r w:rsidRPr="00283227">
              <w:t xml:space="preserve"> in reducing cardiovascular events among patients with acute coronary syndrome.</w:t>
            </w:r>
            <w:r w:rsidR="00201547" w:rsidRPr="00283227">
              <w:t xml:space="preserve"> Also, t</w:t>
            </w:r>
            <w:r w:rsidRPr="00283227">
              <w:t>he bleeding outcomes of ticagrelor loading (instead of clopidogrel) with thrombolytic agent among Asian ST-elevation myocardial infarction (STEMI) patients is unknown.</w:t>
            </w:r>
          </w:p>
          <w:p w14:paraId="3C7A5811" w14:textId="77777777" w:rsidR="00361F2C" w:rsidRPr="00283227" w:rsidRDefault="00361F2C" w:rsidP="00D764BE">
            <w:pPr>
              <w:jc w:val="both"/>
            </w:pPr>
          </w:p>
          <w:p w14:paraId="0BB9EFF6" w14:textId="77376676" w:rsidR="00361F2C" w:rsidRPr="00283227" w:rsidRDefault="00361F2C" w:rsidP="00D764BE">
            <w:pPr>
              <w:jc w:val="both"/>
              <w:rPr>
                <w:b/>
                <w:bCs/>
              </w:rPr>
            </w:pPr>
            <w:r w:rsidRPr="00283227">
              <w:rPr>
                <w:b/>
                <w:bCs/>
              </w:rPr>
              <w:t>Objectives</w:t>
            </w:r>
          </w:p>
          <w:p w14:paraId="1274084B" w14:textId="3521EFB7" w:rsidR="003D683D" w:rsidRPr="00283227" w:rsidRDefault="003D683D" w:rsidP="00D764BE">
            <w:pPr>
              <w:jc w:val="both"/>
            </w:pPr>
            <w:r w:rsidRPr="00283227">
              <w:t>This study aimed to assess the bleeding outcomes among STEMI patients who received thrombolytic therapy with a ticagrelor loading dose.</w:t>
            </w:r>
            <w:r w:rsidR="00792FC8" w:rsidRPr="00283227">
              <w:t xml:space="preserve"> </w:t>
            </w:r>
          </w:p>
          <w:p w14:paraId="086ED128" w14:textId="77777777" w:rsidR="005A32BC" w:rsidRPr="00283227" w:rsidRDefault="005A32BC" w:rsidP="00D764BE">
            <w:pPr>
              <w:jc w:val="both"/>
            </w:pPr>
          </w:p>
          <w:p w14:paraId="1E5AAFF1" w14:textId="2362C29E" w:rsidR="005A32BC" w:rsidRPr="00283227" w:rsidRDefault="005A32BC" w:rsidP="00D764BE">
            <w:pPr>
              <w:jc w:val="both"/>
              <w:rPr>
                <w:b/>
                <w:bCs/>
              </w:rPr>
            </w:pPr>
            <w:r w:rsidRPr="00283227">
              <w:rPr>
                <w:b/>
                <w:bCs/>
              </w:rPr>
              <w:t>Method</w:t>
            </w:r>
            <w:r w:rsidR="00361F2C" w:rsidRPr="00283227">
              <w:rPr>
                <w:b/>
                <w:bCs/>
              </w:rPr>
              <w:t>s</w:t>
            </w:r>
          </w:p>
          <w:p w14:paraId="181C842C" w14:textId="1FB285F0" w:rsidR="004A3391" w:rsidRPr="00283227" w:rsidRDefault="004A3391" w:rsidP="00D764BE">
            <w:pPr>
              <w:jc w:val="both"/>
            </w:pPr>
            <w:r w:rsidRPr="00283227">
              <w:t>This</w:t>
            </w:r>
            <w:r w:rsidR="002D4CBC" w:rsidRPr="00283227">
              <w:t xml:space="preserve"> single</w:t>
            </w:r>
            <w:r w:rsidR="00976DA9" w:rsidRPr="00283227">
              <w:t>-</w:t>
            </w:r>
            <w:r w:rsidR="002D4CBC" w:rsidRPr="00283227">
              <w:t>cent</w:t>
            </w:r>
            <w:r w:rsidR="00976DA9" w:rsidRPr="00283227">
              <w:t>er</w:t>
            </w:r>
            <w:r w:rsidRPr="00283227">
              <w:t xml:space="preserve"> retrospective study collected data on STEMI patients who received thrombolytic therapy with a 180mg ticagrelor loading dose in the Emergency Department (ED), Hospital Kuala Lumpu</w:t>
            </w:r>
            <w:r w:rsidR="002717E8" w:rsidRPr="00283227">
              <w:t>r</w:t>
            </w:r>
            <w:r w:rsidR="00976DA9" w:rsidRPr="00283227">
              <w:t>,</w:t>
            </w:r>
            <w:r w:rsidR="002717E8" w:rsidRPr="00283227">
              <w:t xml:space="preserve"> from </w:t>
            </w:r>
            <w:r w:rsidR="00F40D50" w:rsidRPr="00283227">
              <w:t xml:space="preserve">September </w:t>
            </w:r>
            <w:r w:rsidR="002717E8" w:rsidRPr="00283227">
              <w:t xml:space="preserve">2020 to </w:t>
            </w:r>
            <w:r w:rsidR="00792FC8" w:rsidRPr="00283227">
              <w:t>March</w:t>
            </w:r>
            <w:r w:rsidR="00F40D50" w:rsidRPr="00283227">
              <w:t xml:space="preserve"> </w:t>
            </w:r>
            <w:r w:rsidR="002717E8" w:rsidRPr="00283227">
              <w:t>202</w:t>
            </w:r>
            <w:r w:rsidR="00792FC8" w:rsidRPr="00283227">
              <w:t>4</w:t>
            </w:r>
            <w:r w:rsidR="002717E8" w:rsidRPr="00283227">
              <w:t>. Total population sampling was use</w:t>
            </w:r>
            <w:r w:rsidR="00CF7B27" w:rsidRPr="00283227">
              <w:t>d</w:t>
            </w:r>
            <w:r w:rsidR="002717E8" w:rsidRPr="00283227">
              <w:t xml:space="preserve"> in this study. </w:t>
            </w:r>
            <w:r w:rsidR="005B3F84" w:rsidRPr="00283227">
              <w:t>All data w</w:t>
            </w:r>
            <w:r w:rsidR="00CF7B27" w:rsidRPr="00283227">
              <w:t>ere</w:t>
            </w:r>
            <w:r w:rsidR="005B3F84" w:rsidRPr="00283227">
              <w:t xml:space="preserve"> analy</w:t>
            </w:r>
            <w:r w:rsidR="00976DA9" w:rsidRPr="00283227">
              <w:t>z</w:t>
            </w:r>
            <w:r w:rsidR="005B3F84" w:rsidRPr="00283227">
              <w:t xml:space="preserve">ed descriptively. </w:t>
            </w:r>
          </w:p>
          <w:p w14:paraId="19075ABD" w14:textId="77777777" w:rsidR="005A32BC" w:rsidRPr="00283227" w:rsidRDefault="005A32BC" w:rsidP="00D764BE">
            <w:pPr>
              <w:jc w:val="both"/>
            </w:pPr>
          </w:p>
          <w:p w14:paraId="4A30B477" w14:textId="77777777" w:rsidR="005A32BC" w:rsidRPr="00283227" w:rsidRDefault="005A32BC" w:rsidP="00D764BE">
            <w:pPr>
              <w:jc w:val="both"/>
              <w:rPr>
                <w:b/>
                <w:bCs/>
              </w:rPr>
            </w:pPr>
            <w:r w:rsidRPr="00283227">
              <w:rPr>
                <w:b/>
                <w:bCs/>
              </w:rPr>
              <w:t>Results</w:t>
            </w:r>
          </w:p>
          <w:p w14:paraId="49880EB9" w14:textId="67F20597" w:rsidR="009D4451" w:rsidRPr="00283227" w:rsidRDefault="005C54DC" w:rsidP="00D764BE">
            <w:pPr>
              <w:jc w:val="both"/>
            </w:pPr>
            <w:r w:rsidRPr="00283227">
              <w:t xml:space="preserve">A total of </w:t>
            </w:r>
            <w:r w:rsidR="0001372E" w:rsidRPr="00283227">
              <w:t>117</w:t>
            </w:r>
            <w:r w:rsidRPr="00283227">
              <w:t xml:space="preserve"> patients were included</w:t>
            </w:r>
            <w:r w:rsidR="008356B3" w:rsidRPr="00283227">
              <w:t xml:space="preserve"> in the analyses</w:t>
            </w:r>
            <w:r w:rsidRPr="00283227">
              <w:t xml:space="preserve">. </w:t>
            </w:r>
            <w:r w:rsidR="008B054C" w:rsidRPr="00283227">
              <w:t>Their mean age was 5</w:t>
            </w:r>
            <w:r w:rsidR="00F071B2" w:rsidRPr="00283227">
              <w:t>7</w:t>
            </w:r>
            <w:r w:rsidR="008B054C" w:rsidRPr="00283227">
              <w:t>.2±12.4 years</w:t>
            </w:r>
            <w:r w:rsidR="00976DA9" w:rsidRPr="00283227">
              <w:t>,</w:t>
            </w:r>
            <w:r w:rsidR="008B054C" w:rsidRPr="00283227">
              <w:t xml:space="preserve"> and </w:t>
            </w:r>
            <w:r w:rsidR="00976DA9" w:rsidRPr="00283227">
              <w:t xml:space="preserve">they were </w:t>
            </w:r>
            <w:r w:rsidR="008B054C" w:rsidRPr="00283227">
              <w:t>predominantly male (n=</w:t>
            </w:r>
            <w:r w:rsidR="00F071B2" w:rsidRPr="00283227">
              <w:t>105</w:t>
            </w:r>
            <w:r w:rsidR="008B054C" w:rsidRPr="00283227">
              <w:t xml:space="preserve">, </w:t>
            </w:r>
            <w:r w:rsidR="00F071B2" w:rsidRPr="00283227">
              <w:t>89.7</w:t>
            </w:r>
            <w:r w:rsidR="008B054C" w:rsidRPr="00283227">
              <w:t xml:space="preserve">%). </w:t>
            </w:r>
            <w:r w:rsidR="00976DA9" w:rsidRPr="00283227">
              <w:t>Most</w:t>
            </w:r>
            <w:r w:rsidR="00C827E0" w:rsidRPr="00283227">
              <w:t xml:space="preserve"> had MI with anterior involvement STEMI (n=</w:t>
            </w:r>
            <w:r w:rsidR="00DD550C" w:rsidRPr="00283227">
              <w:t>67</w:t>
            </w:r>
            <w:r w:rsidR="00C827E0" w:rsidRPr="00283227">
              <w:t>, 5</w:t>
            </w:r>
            <w:r w:rsidR="00DD550C" w:rsidRPr="00283227">
              <w:t>7.3</w:t>
            </w:r>
            <w:r w:rsidR="00C827E0" w:rsidRPr="00283227">
              <w:t xml:space="preserve">%) </w:t>
            </w:r>
            <w:r w:rsidR="00535507" w:rsidRPr="00283227">
              <w:t>and received tenecteplase as thrombolytic therapy (n=</w:t>
            </w:r>
            <w:r w:rsidR="00187A95" w:rsidRPr="00283227">
              <w:t>84</w:t>
            </w:r>
            <w:r w:rsidR="00535507" w:rsidRPr="00283227">
              <w:t xml:space="preserve">, </w:t>
            </w:r>
            <w:r w:rsidR="00187A95" w:rsidRPr="00283227">
              <w:t>71.8</w:t>
            </w:r>
            <w:r w:rsidR="00535507" w:rsidRPr="00283227">
              <w:t xml:space="preserve">%). </w:t>
            </w:r>
            <w:r w:rsidR="00F40D50" w:rsidRPr="00283227">
              <w:t>The in-hospital mortality was 15.</w:t>
            </w:r>
            <w:r w:rsidR="00F071B2" w:rsidRPr="00283227">
              <w:t>4</w:t>
            </w:r>
            <w:r w:rsidR="00F40D50" w:rsidRPr="00283227">
              <w:t>% (n=1</w:t>
            </w:r>
            <w:r w:rsidR="00F071B2" w:rsidRPr="00283227">
              <w:t>8</w:t>
            </w:r>
            <w:r w:rsidR="00F40D50" w:rsidRPr="00283227">
              <w:t>)</w:t>
            </w:r>
            <w:r w:rsidR="00D447AE" w:rsidRPr="00283227">
              <w:t>, with</w:t>
            </w:r>
            <w:r w:rsidR="00F40D50" w:rsidRPr="00283227">
              <w:t xml:space="preserve"> </w:t>
            </w:r>
            <w:r w:rsidR="00116FBD" w:rsidRPr="00283227">
              <w:t>more than</w:t>
            </w:r>
            <w:r w:rsidR="005F4293" w:rsidRPr="00283227">
              <w:t xml:space="preserve"> half (</w:t>
            </w:r>
            <w:r w:rsidR="00116FBD" w:rsidRPr="00283227">
              <w:t>55.6</w:t>
            </w:r>
            <w:r w:rsidR="005F4293" w:rsidRPr="00283227">
              <w:t xml:space="preserve">%) </w:t>
            </w:r>
            <w:r w:rsidR="00EA19D0" w:rsidRPr="00283227">
              <w:t xml:space="preserve">of the mortality </w:t>
            </w:r>
            <w:r w:rsidR="005F4293" w:rsidRPr="00283227">
              <w:t>occurr</w:t>
            </w:r>
            <w:r w:rsidR="00976DA9" w:rsidRPr="00283227">
              <w:t>ing</w:t>
            </w:r>
            <w:r w:rsidR="005F4293" w:rsidRPr="00283227">
              <w:t xml:space="preserve"> in the ED (n=</w:t>
            </w:r>
            <w:r w:rsidR="00116FBD" w:rsidRPr="00283227">
              <w:t>10</w:t>
            </w:r>
            <w:r w:rsidR="005F4293" w:rsidRPr="00283227">
              <w:t>).</w:t>
            </w:r>
            <w:r w:rsidR="006813E4" w:rsidRPr="00283227">
              <w:t xml:space="preserve"> </w:t>
            </w:r>
            <w:r w:rsidR="00734ADE" w:rsidRPr="00283227">
              <w:t xml:space="preserve">No major bleeding was observed within 24 hours </w:t>
            </w:r>
            <w:r w:rsidR="0091225C" w:rsidRPr="00283227">
              <w:t>following the administration of</w:t>
            </w:r>
            <w:r w:rsidR="00734ADE" w:rsidRPr="00283227">
              <w:t xml:space="preserve"> ticagrelor and thrombolytic agent</w:t>
            </w:r>
            <w:r w:rsidR="0091225C" w:rsidRPr="00283227">
              <w:t>. Eight (6.8%) minor bleeding events (</w:t>
            </w:r>
            <w:r w:rsidR="00200313" w:rsidRPr="00283227">
              <w:t xml:space="preserve">7 cases of </w:t>
            </w:r>
            <w:r w:rsidR="0091225C" w:rsidRPr="00283227">
              <w:t>gum bleedin</w:t>
            </w:r>
            <w:r w:rsidR="00200313" w:rsidRPr="00283227">
              <w:t>g</w:t>
            </w:r>
            <w:r w:rsidR="0091225C" w:rsidRPr="00283227">
              <w:t>;</w:t>
            </w:r>
            <w:r w:rsidR="00BF2002" w:rsidRPr="00283227">
              <w:t xml:space="preserve"> </w:t>
            </w:r>
            <w:r w:rsidR="00200313" w:rsidRPr="00283227">
              <w:t xml:space="preserve">1 case of </w:t>
            </w:r>
            <w:r w:rsidR="0091225C" w:rsidRPr="00283227">
              <w:t>epistaxi</w:t>
            </w:r>
            <w:r w:rsidR="00200313" w:rsidRPr="00283227">
              <w:t>s</w:t>
            </w:r>
            <w:r w:rsidR="0091225C" w:rsidRPr="00283227">
              <w:t>) occurred in the ED</w:t>
            </w:r>
            <w:r w:rsidR="00BF2002" w:rsidRPr="00283227">
              <w:t xml:space="preserve">; </w:t>
            </w:r>
            <w:r w:rsidR="001C09C1" w:rsidRPr="00283227">
              <w:t xml:space="preserve">all </w:t>
            </w:r>
            <w:r w:rsidR="006813E4" w:rsidRPr="00283227">
              <w:t>gum bleeding</w:t>
            </w:r>
            <w:r w:rsidR="005A77BE" w:rsidRPr="00283227">
              <w:t xml:space="preserve"> </w:t>
            </w:r>
            <w:r w:rsidR="00BF2002" w:rsidRPr="00283227">
              <w:t>case were</w:t>
            </w:r>
            <w:r w:rsidR="005A77BE" w:rsidRPr="00283227">
              <w:t xml:space="preserve"> treated with tranexamic acid gargle</w:t>
            </w:r>
            <w:r w:rsidR="006813E4" w:rsidRPr="00283227">
              <w:t>.</w:t>
            </w:r>
            <w:r w:rsidR="00D15986" w:rsidRPr="00283227">
              <w:t xml:space="preserve"> </w:t>
            </w:r>
          </w:p>
          <w:p w14:paraId="03A9B2B7" w14:textId="77777777" w:rsidR="005A32BC" w:rsidRPr="00283227" w:rsidRDefault="005A32BC" w:rsidP="00D764BE">
            <w:pPr>
              <w:jc w:val="both"/>
            </w:pPr>
          </w:p>
          <w:p w14:paraId="2039D25A" w14:textId="1ED0E3B8" w:rsidR="005A32BC" w:rsidRPr="00283227" w:rsidRDefault="005A32BC" w:rsidP="00D764BE">
            <w:pPr>
              <w:jc w:val="both"/>
              <w:rPr>
                <w:b/>
                <w:bCs/>
              </w:rPr>
            </w:pPr>
            <w:r w:rsidRPr="00283227">
              <w:rPr>
                <w:b/>
                <w:bCs/>
              </w:rPr>
              <w:t>Conclusion</w:t>
            </w:r>
          </w:p>
          <w:p w14:paraId="65477F30" w14:textId="39945465" w:rsidR="00454070" w:rsidRPr="00283227" w:rsidRDefault="003174D9" w:rsidP="00D764BE">
            <w:pPr>
              <w:jc w:val="both"/>
              <w:rPr>
                <w:szCs w:val="32"/>
              </w:rPr>
            </w:pPr>
            <w:r w:rsidRPr="00283227">
              <w:t xml:space="preserve">This is the first Asian study </w:t>
            </w:r>
            <w:r w:rsidR="00976DA9" w:rsidRPr="00283227">
              <w:t>on the bleeding outcomes of ticagrelor loading in STEMI patients</w:t>
            </w:r>
            <w:r w:rsidR="00A556CB" w:rsidRPr="00283227">
              <w:t xml:space="preserve"> </w:t>
            </w:r>
            <w:r w:rsidR="009305F7" w:rsidRPr="00283227">
              <w:t xml:space="preserve">treated with thrombolytic agents. </w:t>
            </w:r>
            <w:r w:rsidR="00994266" w:rsidRPr="00283227">
              <w:t xml:space="preserve">Compared to previously published studies for </w:t>
            </w:r>
            <w:r w:rsidR="00976DA9" w:rsidRPr="00283227">
              <w:t xml:space="preserve">the </w:t>
            </w:r>
            <w:r w:rsidR="00994266" w:rsidRPr="00283227">
              <w:t xml:space="preserve">local population, </w:t>
            </w:r>
            <w:r w:rsidR="00425FCB" w:rsidRPr="00283227">
              <w:t>o</w:t>
            </w:r>
            <w:r w:rsidR="00994266" w:rsidRPr="00283227">
              <w:t>ur findings suggest that t</w:t>
            </w:r>
            <w:r w:rsidR="0014020E" w:rsidRPr="00283227">
              <w:t>icagrelor</w:t>
            </w:r>
            <w:r w:rsidR="00994266" w:rsidRPr="00283227">
              <w:t xml:space="preserve"> loading in STEMI thrombolysis</w:t>
            </w:r>
            <w:r w:rsidR="0014020E" w:rsidRPr="00283227">
              <w:t xml:space="preserve"> did </w:t>
            </w:r>
            <w:r w:rsidR="00994266" w:rsidRPr="00283227">
              <w:t>not increase the risk of bleeding</w:t>
            </w:r>
            <w:r w:rsidR="00425FCB" w:rsidRPr="00283227">
              <w:t xml:space="preserve">. </w:t>
            </w:r>
          </w:p>
          <w:p w14:paraId="02E752FF" w14:textId="77777777" w:rsidR="00454070" w:rsidRPr="00283227" w:rsidRDefault="00454070" w:rsidP="00D764BE">
            <w:pPr>
              <w:jc w:val="both"/>
              <w:rPr>
                <w:szCs w:val="32"/>
              </w:rPr>
            </w:pPr>
          </w:p>
          <w:p w14:paraId="7F67AC17" w14:textId="3C598D09" w:rsidR="00454070" w:rsidRDefault="00361F2C" w:rsidP="00D764BE">
            <w:pPr>
              <w:jc w:val="both"/>
              <w:rPr>
                <w:szCs w:val="32"/>
              </w:rPr>
            </w:pPr>
            <w:r w:rsidRPr="00283227">
              <w:rPr>
                <w:b/>
                <w:bCs/>
                <w:szCs w:val="32"/>
              </w:rPr>
              <w:t xml:space="preserve">Keywords: </w:t>
            </w:r>
            <w:r w:rsidRPr="00283227">
              <w:rPr>
                <w:szCs w:val="32"/>
              </w:rPr>
              <w:t xml:space="preserve">ticagrelor; STEMI; thrombolysis </w:t>
            </w:r>
          </w:p>
          <w:p w14:paraId="4A65A556" w14:textId="77777777" w:rsidR="00283227" w:rsidRDefault="00283227" w:rsidP="00D764BE">
            <w:pPr>
              <w:jc w:val="both"/>
              <w:rPr>
                <w:szCs w:val="32"/>
              </w:rPr>
            </w:pPr>
          </w:p>
          <w:p w14:paraId="5314A473" w14:textId="674963D9" w:rsidR="00283227" w:rsidRPr="00283227" w:rsidRDefault="00283227" w:rsidP="00D764BE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Word count: 270</w:t>
            </w:r>
          </w:p>
          <w:p w14:paraId="4741FC0C" w14:textId="77777777" w:rsidR="00454070" w:rsidRPr="00283227" w:rsidRDefault="00454070">
            <w:pPr>
              <w:rPr>
                <w:szCs w:val="32"/>
              </w:rPr>
            </w:pPr>
          </w:p>
          <w:p w14:paraId="496F3558" w14:textId="77777777" w:rsidR="00454070" w:rsidRPr="00283227" w:rsidRDefault="00454070">
            <w:pPr>
              <w:rPr>
                <w:szCs w:val="32"/>
              </w:rPr>
            </w:pPr>
          </w:p>
        </w:tc>
      </w:tr>
    </w:tbl>
    <w:p w14:paraId="20CCFD54" w14:textId="77777777" w:rsidR="00454070" w:rsidRPr="00283227" w:rsidRDefault="00454070">
      <w:pPr>
        <w:rPr>
          <w:sz w:val="32"/>
          <w:szCs w:val="32"/>
        </w:rPr>
      </w:pPr>
    </w:p>
    <w:p w14:paraId="731F371C" w14:textId="77777777" w:rsidR="00454070" w:rsidRPr="00283227" w:rsidRDefault="00454070">
      <w:pPr>
        <w:rPr>
          <w:sz w:val="32"/>
          <w:szCs w:val="32"/>
        </w:rPr>
      </w:pPr>
    </w:p>
    <w:sectPr w:rsidR="00454070" w:rsidRPr="00283227">
      <w:pgSz w:w="11906" w:h="16838"/>
      <w:pgMar w:top="567" w:right="1797" w:bottom="357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56408950">
    <w:abstractNumId w:val="0"/>
  </w:num>
  <w:num w:numId="2" w16cid:durableId="163062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cxtDQ0MjWwsDBQ0lEKTi0uzszPAykwrwUA82sv/CwAAAA="/>
  </w:docVars>
  <w:rsids>
    <w:rsidRoot w:val="00422D15"/>
    <w:rsid w:val="00000F8F"/>
    <w:rsid w:val="0001370A"/>
    <w:rsid w:val="0001372E"/>
    <w:rsid w:val="0002721B"/>
    <w:rsid w:val="00047084"/>
    <w:rsid w:val="00055BB5"/>
    <w:rsid w:val="00116FBD"/>
    <w:rsid w:val="00122015"/>
    <w:rsid w:val="00132FE5"/>
    <w:rsid w:val="0014020E"/>
    <w:rsid w:val="00176A42"/>
    <w:rsid w:val="00187A95"/>
    <w:rsid w:val="001C09C1"/>
    <w:rsid w:val="001D13F0"/>
    <w:rsid w:val="001D719D"/>
    <w:rsid w:val="001F786F"/>
    <w:rsid w:val="00200313"/>
    <w:rsid w:val="00201547"/>
    <w:rsid w:val="002035BC"/>
    <w:rsid w:val="00236182"/>
    <w:rsid w:val="002717E8"/>
    <w:rsid w:val="00283227"/>
    <w:rsid w:val="002D4CBC"/>
    <w:rsid w:val="003174D9"/>
    <w:rsid w:val="00361F2C"/>
    <w:rsid w:val="003B784B"/>
    <w:rsid w:val="003B79EA"/>
    <w:rsid w:val="003D683D"/>
    <w:rsid w:val="004027B0"/>
    <w:rsid w:val="00414FBE"/>
    <w:rsid w:val="00422D15"/>
    <w:rsid w:val="00425FCB"/>
    <w:rsid w:val="0045363D"/>
    <w:rsid w:val="00454070"/>
    <w:rsid w:val="004777AE"/>
    <w:rsid w:val="004831E3"/>
    <w:rsid w:val="00485069"/>
    <w:rsid w:val="004A3391"/>
    <w:rsid w:val="004B726B"/>
    <w:rsid w:val="00511340"/>
    <w:rsid w:val="0052141C"/>
    <w:rsid w:val="00535507"/>
    <w:rsid w:val="005934FD"/>
    <w:rsid w:val="005A32BC"/>
    <w:rsid w:val="005A77BE"/>
    <w:rsid w:val="005B1202"/>
    <w:rsid w:val="005B3F84"/>
    <w:rsid w:val="005C54DC"/>
    <w:rsid w:val="005C629D"/>
    <w:rsid w:val="005D48A8"/>
    <w:rsid w:val="005F4293"/>
    <w:rsid w:val="005F684E"/>
    <w:rsid w:val="00613457"/>
    <w:rsid w:val="0062722F"/>
    <w:rsid w:val="00667EEF"/>
    <w:rsid w:val="006813E4"/>
    <w:rsid w:val="00705410"/>
    <w:rsid w:val="00711371"/>
    <w:rsid w:val="007205CA"/>
    <w:rsid w:val="00720FE3"/>
    <w:rsid w:val="00734ADE"/>
    <w:rsid w:val="007760C8"/>
    <w:rsid w:val="00782114"/>
    <w:rsid w:val="00792FC8"/>
    <w:rsid w:val="007A1D33"/>
    <w:rsid w:val="007B5D02"/>
    <w:rsid w:val="0082139B"/>
    <w:rsid w:val="008356B3"/>
    <w:rsid w:val="00840DD2"/>
    <w:rsid w:val="00864DB6"/>
    <w:rsid w:val="008A14DD"/>
    <w:rsid w:val="008B054C"/>
    <w:rsid w:val="0091225C"/>
    <w:rsid w:val="009305F7"/>
    <w:rsid w:val="009554B7"/>
    <w:rsid w:val="00963AA9"/>
    <w:rsid w:val="00976DA9"/>
    <w:rsid w:val="00994266"/>
    <w:rsid w:val="009D4451"/>
    <w:rsid w:val="00A3559E"/>
    <w:rsid w:val="00A4465B"/>
    <w:rsid w:val="00A556CB"/>
    <w:rsid w:val="00A63EB3"/>
    <w:rsid w:val="00A97E24"/>
    <w:rsid w:val="00AD6606"/>
    <w:rsid w:val="00AE033F"/>
    <w:rsid w:val="00B04DAB"/>
    <w:rsid w:val="00B65487"/>
    <w:rsid w:val="00B8345E"/>
    <w:rsid w:val="00BB3884"/>
    <w:rsid w:val="00BF2002"/>
    <w:rsid w:val="00C14859"/>
    <w:rsid w:val="00C30A7E"/>
    <w:rsid w:val="00C51BD8"/>
    <w:rsid w:val="00C72C7A"/>
    <w:rsid w:val="00C7606D"/>
    <w:rsid w:val="00C827E0"/>
    <w:rsid w:val="00CF7B27"/>
    <w:rsid w:val="00D15986"/>
    <w:rsid w:val="00D447AE"/>
    <w:rsid w:val="00D764BE"/>
    <w:rsid w:val="00D820BB"/>
    <w:rsid w:val="00D82F61"/>
    <w:rsid w:val="00DA75D0"/>
    <w:rsid w:val="00DC4E5B"/>
    <w:rsid w:val="00DD550C"/>
    <w:rsid w:val="00E21DBC"/>
    <w:rsid w:val="00E57A65"/>
    <w:rsid w:val="00E70065"/>
    <w:rsid w:val="00E83661"/>
    <w:rsid w:val="00EA0872"/>
    <w:rsid w:val="00EA19D0"/>
    <w:rsid w:val="00EF6027"/>
    <w:rsid w:val="00F071B2"/>
    <w:rsid w:val="00F37CCA"/>
    <w:rsid w:val="00F40D50"/>
    <w:rsid w:val="00F53D7B"/>
    <w:rsid w:val="00F72F0F"/>
    <w:rsid w:val="00F80E79"/>
    <w:rsid w:val="00F96927"/>
    <w:rsid w:val="00FC511C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61C596"/>
  <w15:chartTrackingRefBased/>
  <w15:docId w15:val="{55C45018-4BE9-41C7-A067-E94A0DE6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A0">
    <w:name w:val="A0"/>
    <w:rPr>
      <w:color w:val="00000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180"/>
    </w:pPr>
    <w:rPr>
      <w:b/>
      <w:bCs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(Times New Roman 12 font bold, left aligned)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(Times New Roman 12 font bold, left aligned)</dc:title>
  <dc:subject/>
  <dc:creator>Lenovo</dc:creator>
  <cp:keywords/>
  <cp:lastModifiedBy>Wilson Koh</cp:lastModifiedBy>
  <cp:revision>29</cp:revision>
  <cp:lastPrinted>2007-09-25T07:39:00Z</cp:lastPrinted>
  <dcterms:created xsi:type="dcterms:W3CDTF">2024-05-10T02:58:00Z</dcterms:created>
  <dcterms:modified xsi:type="dcterms:W3CDTF">2024-05-10T07:18:00Z</dcterms:modified>
</cp:coreProperties>
</file>