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B222" w14:textId="77777777" w:rsidR="0082295C" w:rsidRPr="007A7BA0" w:rsidRDefault="00000000" w:rsidP="007A7BA0">
      <w:pPr>
        <w:pStyle w:val="NormalWeb"/>
        <w:jc w:val="center"/>
        <w:rPr>
          <w:rFonts w:eastAsia="Cambria" w:cstheme="minorHAnsi"/>
          <w:b/>
          <w:bCs/>
          <w:shd w:val="clear" w:color="auto" w:fill="FFFFFF"/>
          <w:lang w:val="en-MY"/>
        </w:rPr>
      </w:pPr>
      <w:r w:rsidRPr="007A7BA0">
        <w:rPr>
          <w:rFonts w:eastAsia="Cambria" w:cstheme="minorHAnsi"/>
          <w:b/>
          <w:bCs/>
          <w:shd w:val="clear" w:color="auto" w:fill="FFFFFF"/>
          <w:lang w:val="en-MY"/>
        </w:rPr>
        <w:t>Case Report - A Case of Complicated Simple Pneumothorax</w:t>
      </w:r>
    </w:p>
    <w:p w14:paraId="16779D05" w14:textId="77777777" w:rsidR="00E15F88" w:rsidRPr="007A7BA0" w:rsidRDefault="00E15F88" w:rsidP="007A7BA0">
      <w:pPr>
        <w:pStyle w:val="NormalWeb"/>
        <w:jc w:val="center"/>
        <w:rPr>
          <w:rFonts w:eastAsia="Cambria" w:cstheme="minorHAnsi"/>
          <w:b/>
          <w:bCs/>
          <w:shd w:val="clear" w:color="auto" w:fill="FFFFFF"/>
          <w:lang w:val="en-MY"/>
        </w:rPr>
      </w:pPr>
    </w:p>
    <w:p w14:paraId="05CF740E" w14:textId="77777777" w:rsidR="0082295C" w:rsidRPr="007A7BA0" w:rsidRDefault="0082295C" w:rsidP="007A7BA0">
      <w:pPr>
        <w:pStyle w:val="NoSpacing"/>
        <w:jc w:val="center"/>
        <w:rPr>
          <w:rFonts w:cstheme="minorHAnsi"/>
          <w:sz w:val="24"/>
          <w:szCs w:val="24"/>
          <w:vertAlign w:val="superscript"/>
        </w:rPr>
      </w:pPr>
      <w:r w:rsidRPr="007A7BA0">
        <w:rPr>
          <w:rFonts w:cstheme="minorHAnsi"/>
          <w:sz w:val="24"/>
          <w:szCs w:val="24"/>
        </w:rPr>
        <w:t>Farah binti Mohd Faisal</w:t>
      </w:r>
      <w:r w:rsidRPr="007A7BA0">
        <w:rPr>
          <w:rFonts w:cstheme="minorHAnsi"/>
          <w:sz w:val="24"/>
          <w:szCs w:val="24"/>
          <w:vertAlign w:val="superscript"/>
        </w:rPr>
        <w:t>1</w:t>
      </w:r>
      <w:r w:rsidRPr="007A7BA0">
        <w:rPr>
          <w:rFonts w:cstheme="minorHAnsi"/>
          <w:sz w:val="24"/>
          <w:szCs w:val="24"/>
        </w:rPr>
        <w:t>, Johnny Ngu Tai Hock</w:t>
      </w:r>
      <w:r w:rsidRPr="007A7BA0">
        <w:rPr>
          <w:rFonts w:cstheme="minorHAnsi"/>
          <w:sz w:val="24"/>
          <w:szCs w:val="24"/>
          <w:vertAlign w:val="superscript"/>
        </w:rPr>
        <w:t>1</w:t>
      </w:r>
      <w:r w:rsidRPr="007A7BA0">
        <w:rPr>
          <w:rFonts w:cstheme="minorHAnsi"/>
          <w:sz w:val="24"/>
          <w:szCs w:val="24"/>
        </w:rPr>
        <w:t xml:space="preserve">, </w:t>
      </w:r>
      <w:proofErr w:type="spellStart"/>
      <w:r w:rsidRPr="007A7BA0">
        <w:rPr>
          <w:rFonts w:cstheme="minorHAnsi"/>
          <w:sz w:val="24"/>
          <w:szCs w:val="24"/>
        </w:rPr>
        <w:t>Mexmollen</w:t>
      </w:r>
      <w:proofErr w:type="spellEnd"/>
      <w:r w:rsidRPr="007A7BA0">
        <w:rPr>
          <w:rFonts w:cstheme="minorHAnsi"/>
          <w:sz w:val="24"/>
          <w:szCs w:val="24"/>
        </w:rPr>
        <w:t xml:space="preserve"> Marcus</w:t>
      </w:r>
      <w:r w:rsidRPr="007A7BA0">
        <w:rPr>
          <w:rFonts w:cstheme="minorHAnsi"/>
          <w:sz w:val="24"/>
          <w:szCs w:val="24"/>
          <w:vertAlign w:val="superscript"/>
        </w:rPr>
        <w:t>2</w:t>
      </w:r>
    </w:p>
    <w:p w14:paraId="02A3E926" w14:textId="77777777" w:rsidR="0082295C" w:rsidRPr="007A7BA0" w:rsidRDefault="0082295C" w:rsidP="007A7BA0">
      <w:pPr>
        <w:pStyle w:val="NoSpacing"/>
        <w:jc w:val="center"/>
        <w:rPr>
          <w:rFonts w:cstheme="minorHAnsi"/>
          <w:sz w:val="24"/>
          <w:szCs w:val="24"/>
          <w:vertAlign w:val="superscript"/>
        </w:rPr>
      </w:pPr>
    </w:p>
    <w:p w14:paraId="653402C9" w14:textId="77777777" w:rsidR="0082295C" w:rsidRPr="007A7BA0" w:rsidRDefault="0082295C" w:rsidP="007A7BA0">
      <w:pPr>
        <w:pStyle w:val="NoSpacing"/>
        <w:jc w:val="center"/>
        <w:rPr>
          <w:rFonts w:cstheme="minorHAnsi"/>
          <w:sz w:val="24"/>
          <w:szCs w:val="24"/>
          <w:vertAlign w:val="superscript"/>
        </w:rPr>
      </w:pPr>
      <w:r w:rsidRPr="007A7BA0">
        <w:rPr>
          <w:rFonts w:cstheme="minorHAnsi"/>
          <w:sz w:val="24"/>
          <w:szCs w:val="24"/>
          <w:vertAlign w:val="superscript"/>
        </w:rPr>
        <w:t>1</w:t>
      </w:r>
      <w:r w:rsidRPr="007A7BA0">
        <w:rPr>
          <w:rFonts w:cstheme="minorHAnsi"/>
          <w:sz w:val="24"/>
          <w:szCs w:val="24"/>
        </w:rPr>
        <w:t>Department of Emergency and Trauma,</w:t>
      </w:r>
      <w:r w:rsidRPr="007A7BA0">
        <w:rPr>
          <w:rFonts w:cstheme="minorHAnsi"/>
          <w:sz w:val="24"/>
          <w:szCs w:val="24"/>
          <w:vertAlign w:val="superscript"/>
        </w:rPr>
        <w:t xml:space="preserve"> </w:t>
      </w:r>
      <w:r w:rsidRPr="007A7BA0">
        <w:rPr>
          <w:rFonts w:cstheme="minorHAnsi"/>
          <w:sz w:val="24"/>
          <w:szCs w:val="24"/>
        </w:rPr>
        <w:t>Queen Elizabeth Hospital II</w:t>
      </w:r>
    </w:p>
    <w:p w14:paraId="175BCAC4" w14:textId="77777777" w:rsidR="0082295C" w:rsidRPr="007A7BA0" w:rsidRDefault="0082295C" w:rsidP="007A7BA0">
      <w:pPr>
        <w:pStyle w:val="NoSpacing"/>
        <w:jc w:val="center"/>
        <w:rPr>
          <w:rFonts w:cstheme="minorHAnsi"/>
          <w:sz w:val="24"/>
          <w:szCs w:val="24"/>
        </w:rPr>
      </w:pPr>
      <w:r w:rsidRPr="007A7BA0">
        <w:rPr>
          <w:rFonts w:cstheme="minorHAnsi"/>
          <w:sz w:val="24"/>
          <w:szCs w:val="24"/>
          <w:vertAlign w:val="superscript"/>
        </w:rPr>
        <w:t>2</w:t>
      </w:r>
      <w:r w:rsidRPr="007A7BA0">
        <w:rPr>
          <w:rFonts w:cstheme="minorHAnsi"/>
          <w:sz w:val="24"/>
          <w:szCs w:val="24"/>
        </w:rPr>
        <w:t xml:space="preserve">Faculty of Medical and Health Sciences, </w:t>
      </w:r>
      <w:proofErr w:type="spellStart"/>
      <w:r w:rsidRPr="007A7BA0">
        <w:rPr>
          <w:rFonts w:cstheme="minorHAnsi"/>
          <w:sz w:val="24"/>
          <w:szCs w:val="24"/>
        </w:rPr>
        <w:t>Universiti</w:t>
      </w:r>
      <w:proofErr w:type="spellEnd"/>
      <w:r w:rsidRPr="007A7BA0">
        <w:rPr>
          <w:rFonts w:cstheme="minorHAnsi"/>
          <w:sz w:val="24"/>
          <w:szCs w:val="24"/>
        </w:rPr>
        <w:t xml:space="preserve"> Malaysia Sabah</w:t>
      </w:r>
    </w:p>
    <w:p w14:paraId="377E8158" w14:textId="77777777" w:rsidR="00E15F88" w:rsidRPr="007A7BA0" w:rsidRDefault="00E15F88" w:rsidP="007A7BA0">
      <w:pPr>
        <w:pStyle w:val="NormalWeb"/>
        <w:jc w:val="center"/>
        <w:rPr>
          <w:rFonts w:eastAsia="SimSun" w:cstheme="minorHAnsi"/>
          <w:b/>
          <w:bCs/>
          <w:lang w:val="en-MY"/>
        </w:rPr>
      </w:pPr>
    </w:p>
    <w:p w14:paraId="0B34D308" w14:textId="77777777" w:rsidR="00E15F88" w:rsidRPr="007A7BA0" w:rsidRDefault="00000000" w:rsidP="007A7BA0">
      <w:pPr>
        <w:pStyle w:val="NormalWeb"/>
        <w:jc w:val="center"/>
        <w:textAlignment w:val="baseline"/>
        <w:rPr>
          <w:rFonts w:eastAsia="Cambria" w:cstheme="minorHAnsi"/>
          <w:shd w:val="clear" w:color="auto" w:fill="FFFFFF"/>
        </w:rPr>
      </w:pPr>
      <w:r w:rsidRPr="007A7BA0">
        <w:rPr>
          <w:rFonts w:eastAsia="Cambria" w:cstheme="minorHAnsi"/>
          <w:b/>
          <w:bCs/>
          <w:shd w:val="clear" w:color="auto" w:fill="FFFFFF"/>
        </w:rPr>
        <w:t>Introduction</w:t>
      </w:r>
    </w:p>
    <w:p w14:paraId="04908704" w14:textId="5D191FB7" w:rsidR="00E15F88" w:rsidRPr="007A7BA0" w:rsidRDefault="00000000" w:rsidP="007A7BA0">
      <w:pPr>
        <w:pStyle w:val="NormalWeb"/>
        <w:jc w:val="center"/>
        <w:textAlignment w:val="baseline"/>
        <w:rPr>
          <w:rFonts w:eastAsia="Cambria" w:cstheme="minorHAnsi"/>
          <w:shd w:val="clear" w:color="auto" w:fill="FFFFFF"/>
          <w:lang w:val="en-MY"/>
        </w:rPr>
      </w:pPr>
      <w:r w:rsidRPr="007A7BA0">
        <w:rPr>
          <w:rFonts w:eastAsia="Cambria" w:cstheme="minorHAnsi"/>
          <w:shd w:val="clear" w:color="auto" w:fill="FFFFFF"/>
          <w:lang w:val="en-MY"/>
        </w:rPr>
        <w:t>Non-traumatic spontaneous pneumothorax is not uncommon</w:t>
      </w:r>
      <w:r w:rsidR="00951227"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emergency department. The latest guideline has recommended a more patient-</w:t>
      </w:r>
      <w:proofErr w:type="spellStart"/>
      <w:r w:rsidRPr="007A7BA0">
        <w:rPr>
          <w:rFonts w:eastAsia="Cambria" w:cstheme="minorHAnsi"/>
          <w:shd w:val="clear" w:color="auto" w:fill="FFFFFF"/>
          <w:lang w:val="en-MY"/>
        </w:rPr>
        <w:t>centered</w:t>
      </w:r>
      <w:proofErr w:type="spellEnd"/>
      <w:r w:rsidRPr="007A7BA0">
        <w:rPr>
          <w:rFonts w:eastAsia="Cambria" w:cstheme="minorHAnsi"/>
          <w:shd w:val="clear" w:color="auto" w:fill="FFFFFF"/>
          <w:lang w:val="en-MY"/>
        </w:rPr>
        <w:t xml:space="preserve"> approach for each cases.</w:t>
      </w:r>
    </w:p>
    <w:p w14:paraId="37986544" w14:textId="77777777" w:rsidR="00E15F88" w:rsidRPr="007A7BA0" w:rsidRDefault="00E15F88" w:rsidP="007A7BA0">
      <w:pPr>
        <w:pStyle w:val="NormalWeb"/>
        <w:jc w:val="center"/>
        <w:textAlignment w:val="baseline"/>
        <w:rPr>
          <w:rFonts w:eastAsia="Cambria" w:cstheme="minorHAnsi"/>
          <w:shd w:val="clear" w:color="auto" w:fill="FFFFFF"/>
        </w:rPr>
      </w:pPr>
    </w:p>
    <w:p w14:paraId="6C71C01C" w14:textId="77777777" w:rsidR="00E15F88" w:rsidRPr="007A7BA0" w:rsidRDefault="00000000" w:rsidP="007A7BA0">
      <w:pPr>
        <w:pStyle w:val="NormalWeb"/>
        <w:jc w:val="center"/>
        <w:textAlignment w:val="baseline"/>
        <w:rPr>
          <w:rFonts w:eastAsia="Cambria" w:cstheme="minorHAnsi"/>
          <w:shd w:val="clear" w:color="auto" w:fill="FFFFFF"/>
        </w:rPr>
      </w:pPr>
      <w:r w:rsidRPr="007A7BA0">
        <w:rPr>
          <w:rFonts w:eastAsia="Cambria" w:cstheme="minorHAnsi"/>
          <w:b/>
          <w:bCs/>
          <w:shd w:val="clear" w:color="auto" w:fill="FFFFFF"/>
        </w:rPr>
        <w:t>Case description</w:t>
      </w:r>
    </w:p>
    <w:p w14:paraId="62E3ED47" w14:textId="1BD51F3B" w:rsidR="00E15F88" w:rsidRPr="007A7BA0" w:rsidRDefault="00000000" w:rsidP="007A7BA0">
      <w:pPr>
        <w:pStyle w:val="NormalWeb"/>
        <w:jc w:val="center"/>
        <w:textAlignment w:val="baseline"/>
        <w:rPr>
          <w:rFonts w:eastAsia="Cambria" w:cstheme="minorHAnsi"/>
          <w:shd w:val="clear" w:color="auto" w:fill="FFFFFF"/>
          <w:lang w:val="en-MY"/>
        </w:rPr>
      </w:pPr>
      <w:r w:rsidRPr="007A7BA0">
        <w:rPr>
          <w:rFonts w:eastAsia="Cambria" w:cstheme="minorHAnsi"/>
          <w:shd w:val="clear" w:color="auto" w:fill="FFFFFF"/>
          <w:lang w:val="en-MY"/>
        </w:rPr>
        <w:t xml:space="preserve">A 39 years old female with a history of bronchial asthma and recently diagnosed dilated cardiomyopathy, with a left ventricular apical clot, was referred to ED with the complaint of sudden onset of breathlessness. </w:t>
      </w:r>
      <w:r w:rsidR="00951227" w:rsidRPr="007A7BA0">
        <w:rPr>
          <w:rFonts w:eastAsia="Cambria" w:cstheme="minorHAnsi"/>
          <w:shd w:val="clear" w:color="auto" w:fill="FFFFFF"/>
          <w:lang w:val="en-MY"/>
        </w:rPr>
        <w:t>The</w:t>
      </w:r>
      <w:r w:rsidRPr="007A7BA0">
        <w:rPr>
          <w:rFonts w:eastAsia="Cambria" w:cstheme="minorHAnsi"/>
          <w:shd w:val="clear" w:color="auto" w:fill="FFFFFF"/>
          <w:lang w:val="en-MY"/>
        </w:rPr>
        <w:t xml:space="preserve"> patient was </w:t>
      </w:r>
      <w:r w:rsidR="00951227" w:rsidRPr="007A7BA0">
        <w:rPr>
          <w:rFonts w:eastAsia="Cambria" w:cstheme="minorHAnsi"/>
          <w:shd w:val="clear" w:color="auto" w:fill="FFFFFF"/>
          <w:lang w:val="en-MY"/>
        </w:rPr>
        <w:t>tachypnoeic</w:t>
      </w:r>
      <w:r w:rsidRPr="007A7BA0">
        <w:rPr>
          <w:rFonts w:eastAsia="Cambria" w:cstheme="minorHAnsi"/>
          <w:shd w:val="clear" w:color="auto" w:fill="FFFFFF"/>
          <w:lang w:val="en-MY"/>
        </w:rPr>
        <w:t xml:space="preserve"> and able to speak in short sentences</w:t>
      </w:r>
      <w:r w:rsidR="00900A10">
        <w:rPr>
          <w:rFonts w:eastAsia="Cambria" w:cstheme="minorHAnsi"/>
          <w:shd w:val="clear" w:color="auto" w:fill="FFFFFF"/>
          <w:lang w:val="en-MY"/>
        </w:rPr>
        <w:t xml:space="preserve"> with an</w:t>
      </w:r>
      <w:r w:rsidR="00951227"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 xml:space="preserve">SpO2 </w:t>
      </w:r>
      <w:r w:rsidR="00900A10">
        <w:rPr>
          <w:rFonts w:eastAsia="Cambria" w:cstheme="minorHAnsi"/>
          <w:shd w:val="clear" w:color="auto" w:fill="FFFFFF"/>
          <w:lang w:val="en-MY"/>
        </w:rPr>
        <w:t>of</w:t>
      </w:r>
      <w:r w:rsidRPr="007A7BA0">
        <w:rPr>
          <w:rFonts w:eastAsia="Cambria" w:cstheme="minorHAnsi"/>
          <w:shd w:val="clear" w:color="auto" w:fill="FFFFFF"/>
          <w:lang w:val="en-MY"/>
        </w:rPr>
        <w:t xml:space="preserve"> 91%</w:t>
      </w:r>
      <w:r w:rsidR="00900A10">
        <w:rPr>
          <w:rFonts w:eastAsia="Cambria" w:cstheme="minorHAnsi"/>
          <w:shd w:val="clear" w:color="auto" w:fill="FFFFFF"/>
          <w:lang w:val="en-MY"/>
        </w:rPr>
        <w:t>.</w:t>
      </w:r>
      <w:r w:rsidRPr="007A7BA0">
        <w:rPr>
          <w:rFonts w:eastAsia="Cambria" w:cstheme="minorHAnsi"/>
          <w:shd w:val="clear" w:color="auto" w:fill="FFFFFF"/>
          <w:lang w:val="en-MY"/>
        </w:rPr>
        <w:t xml:space="preserve"> </w:t>
      </w:r>
      <w:r w:rsidR="00951227" w:rsidRPr="007A7BA0">
        <w:rPr>
          <w:rFonts w:eastAsia="Cambria" w:cstheme="minorHAnsi"/>
          <w:shd w:val="clear" w:color="auto" w:fill="FFFFFF"/>
          <w:lang w:val="en-MY"/>
        </w:rPr>
        <w:t>There was</w:t>
      </w:r>
      <w:r w:rsidRPr="007A7BA0">
        <w:rPr>
          <w:rFonts w:eastAsia="Cambria" w:cstheme="minorHAnsi"/>
          <w:shd w:val="clear" w:color="auto" w:fill="FFFFFF"/>
          <w:lang w:val="en-MY"/>
        </w:rPr>
        <w:t xml:space="preserve"> reduced air entry over left lung and generalized rhonchi over right lung. Her BMI was 31kg/m2. CXR showed a left sided </w:t>
      </w:r>
      <w:r w:rsidR="00A51E78" w:rsidRPr="007A7BA0">
        <w:rPr>
          <w:rFonts w:eastAsia="Cambria" w:cstheme="minorHAnsi"/>
          <w:highlight w:val="yellow"/>
          <w:shd w:val="clear" w:color="auto" w:fill="FFFFFF"/>
          <w:lang w:val="en-MY"/>
        </w:rPr>
        <w:t>massive</w:t>
      </w:r>
      <w:r w:rsidR="00A51E78"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 xml:space="preserve">pneumothorax. Her INR </w:t>
      </w:r>
      <w:r w:rsidR="00951227" w:rsidRPr="007A7BA0">
        <w:rPr>
          <w:rFonts w:eastAsia="Cambria" w:cstheme="minorHAnsi"/>
          <w:shd w:val="clear" w:color="auto" w:fill="FFFFFF"/>
          <w:lang w:val="en-MY"/>
        </w:rPr>
        <w:t>was</w:t>
      </w:r>
      <w:r w:rsidRPr="007A7BA0">
        <w:rPr>
          <w:rFonts w:eastAsia="Cambria" w:cstheme="minorHAnsi"/>
          <w:shd w:val="clear" w:color="auto" w:fill="FFFFFF"/>
          <w:lang w:val="en-MY"/>
        </w:rPr>
        <w:t xml:space="preserve"> 3.7 due to warfarin started 5 days ago. </w:t>
      </w:r>
      <w:r w:rsidR="00951227" w:rsidRPr="007A7BA0">
        <w:rPr>
          <w:rFonts w:eastAsia="Cambria" w:cstheme="minorHAnsi"/>
          <w:shd w:val="clear" w:color="auto" w:fill="FFFFFF"/>
          <w:lang w:val="en-MY"/>
        </w:rPr>
        <w:t>The need for pleural drainage was indicated, t</w:t>
      </w:r>
      <w:r w:rsidRPr="007A7BA0">
        <w:rPr>
          <w:rFonts w:eastAsia="Cambria" w:cstheme="minorHAnsi"/>
          <w:shd w:val="clear" w:color="auto" w:fill="FFFFFF"/>
          <w:lang w:val="en-MY"/>
        </w:rPr>
        <w:t xml:space="preserve">he potential risks and benefits of both needle thoracocentesis and chest </w:t>
      </w:r>
      <w:r w:rsidR="00951227" w:rsidRPr="007A7BA0">
        <w:rPr>
          <w:rFonts w:eastAsia="Cambria" w:cstheme="minorHAnsi"/>
          <w:shd w:val="clear" w:color="auto" w:fill="FFFFFF"/>
          <w:lang w:val="en-MY"/>
        </w:rPr>
        <w:t>tube</w:t>
      </w:r>
      <w:r w:rsidRPr="007A7BA0">
        <w:rPr>
          <w:rFonts w:eastAsia="Cambria" w:cstheme="minorHAnsi"/>
          <w:shd w:val="clear" w:color="auto" w:fill="FFFFFF"/>
          <w:lang w:val="en-MY"/>
        </w:rPr>
        <w:t xml:space="preserve"> were explained to patient</w:t>
      </w:r>
      <w:r w:rsidR="00951227"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 xml:space="preserve">Due to her high BMI and supratherapeutic INR, </w:t>
      </w:r>
      <w:r w:rsidR="00A51E78" w:rsidRPr="007A7BA0">
        <w:rPr>
          <w:rFonts w:eastAsia="Cambria" w:cstheme="minorHAnsi"/>
          <w:highlight w:val="yellow"/>
          <w:shd w:val="clear" w:color="auto" w:fill="FFFFFF"/>
          <w:lang w:val="en-MY"/>
        </w:rPr>
        <w:t>prothrombin complex concentrate (PCC)</w:t>
      </w:r>
      <w:r w:rsidRPr="007A7BA0">
        <w:rPr>
          <w:rFonts w:eastAsia="Cambria" w:cstheme="minorHAnsi"/>
          <w:highlight w:val="yellow"/>
          <w:shd w:val="clear" w:color="auto" w:fill="FFFFFF"/>
          <w:lang w:val="en-MY"/>
        </w:rPr>
        <w:t xml:space="preserve"> </w:t>
      </w:r>
      <w:r w:rsidR="00A51E78" w:rsidRPr="007A7BA0">
        <w:rPr>
          <w:rFonts w:eastAsia="Cambria" w:cstheme="minorHAnsi"/>
          <w:highlight w:val="yellow"/>
          <w:shd w:val="clear" w:color="auto" w:fill="FFFFFF"/>
          <w:lang w:val="en-MY"/>
        </w:rPr>
        <w:t>was administered</w:t>
      </w:r>
      <w:r w:rsidR="00A51E78"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 xml:space="preserve">prior to procedure. </w:t>
      </w:r>
      <w:r w:rsidR="009318A4" w:rsidRPr="007A7BA0">
        <w:rPr>
          <w:rFonts w:eastAsia="Cambria" w:cstheme="minorHAnsi"/>
          <w:highlight w:val="yellow"/>
          <w:shd w:val="clear" w:color="auto" w:fill="FFFFFF"/>
          <w:lang w:val="en-MY"/>
        </w:rPr>
        <w:t>A Rocket</w:t>
      </w:r>
      <w:r w:rsidR="009318A4" w:rsidRPr="007A7BA0">
        <w:rPr>
          <w:rFonts w:eastAsia="Cambria" w:cstheme="minorHAnsi"/>
          <w:highlight w:val="yellow"/>
          <w:shd w:val="clear" w:color="auto" w:fill="FFFFFF"/>
          <w:lang w:val="en-MY"/>
        </w:rPr>
        <w:sym w:font="Symbol" w:char="F0D2"/>
      </w:r>
      <w:r w:rsidR="009318A4" w:rsidRPr="007A7BA0">
        <w:rPr>
          <w:rFonts w:eastAsia="Cambria" w:cstheme="minorHAnsi"/>
          <w:highlight w:val="yellow"/>
          <w:shd w:val="clear" w:color="auto" w:fill="FFFFFF"/>
          <w:lang w:val="en-MY"/>
        </w:rPr>
        <w:t xml:space="preserve"> indwelling</w:t>
      </w:r>
      <w:r w:rsidRPr="007A7BA0">
        <w:rPr>
          <w:rFonts w:eastAsia="Cambria" w:cstheme="minorHAnsi"/>
          <w:highlight w:val="yellow"/>
          <w:shd w:val="clear" w:color="auto" w:fill="FFFFFF"/>
          <w:lang w:val="en-MY"/>
        </w:rPr>
        <w:t xml:space="preserve"> pleural catheter </w:t>
      </w:r>
      <w:r w:rsidR="009318A4" w:rsidRPr="007A7BA0">
        <w:rPr>
          <w:rFonts w:eastAsia="Cambria" w:cstheme="minorHAnsi"/>
          <w:highlight w:val="yellow"/>
          <w:shd w:val="clear" w:color="auto" w:fill="FFFFFF"/>
          <w:lang w:val="en-MY"/>
        </w:rPr>
        <w:t>(IPC</w:t>
      </w:r>
      <w:r w:rsidR="009318A4" w:rsidRPr="007A7BA0">
        <w:rPr>
          <w:rFonts w:eastAsia="Cambria" w:cstheme="minorHAnsi"/>
          <w:highlight w:val="yellow"/>
          <w:shd w:val="clear" w:color="auto" w:fill="FFFFFF"/>
          <w:lang w:val="en-MY"/>
        </w:rPr>
        <w:sym w:font="Symbol" w:char="F0D4"/>
      </w:r>
      <w:r w:rsidR="00902074" w:rsidRPr="007A7BA0">
        <w:rPr>
          <w:rFonts w:eastAsia="Cambria" w:cstheme="minorHAnsi"/>
          <w:highlight w:val="yellow"/>
          <w:shd w:val="clear" w:color="auto" w:fill="FFFFFF"/>
          <w:lang w:val="en-MY"/>
        </w:rPr>
        <w:t>)</w:t>
      </w:r>
      <w:r w:rsidR="009318A4" w:rsidRPr="007A7BA0">
        <w:rPr>
          <w:rFonts w:eastAsia="Cambria" w:cstheme="minorHAnsi"/>
          <w:shd w:val="clear" w:color="auto" w:fill="FFFFFF"/>
          <w:lang w:val="en-MY"/>
        </w:rPr>
        <w:t xml:space="preserve"> </w:t>
      </w:r>
      <w:r w:rsidRPr="007A7BA0">
        <w:rPr>
          <w:rFonts w:eastAsia="Cambria" w:cstheme="minorHAnsi"/>
          <w:shd w:val="clear" w:color="auto" w:fill="FFFFFF"/>
          <w:lang w:val="en-MY"/>
        </w:rPr>
        <w:t xml:space="preserve">was inserted </w:t>
      </w:r>
      <w:r w:rsidR="007A7BA0" w:rsidRPr="007A7BA0">
        <w:rPr>
          <w:rFonts w:eastAsia="Cambria" w:cstheme="minorHAnsi"/>
          <w:shd w:val="clear" w:color="auto" w:fill="FFFFFF"/>
          <w:lang w:val="en-MY"/>
        </w:rPr>
        <w:t>as the first choice for drainage</w:t>
      </w:r>
      <w:r w:rsidRPr="007A7BA0">
        <w:rPr>
          <w:rFonts w:eastAsia="Cambria" w:cstheme="minorHAnsi"/>
          <w:shd w:val="clear" w:color="auto" w:fill="FFFFFF"/>
          <w:lang w:val="en-MY"/>
        </w:rPr>
        <w:t>. Repeated CXR on 3</w:t>
      </w:r>
      <w:r w:rsidRPr="007A7BA0">
        <w:rPr>
          <w:rFonts w:eastAsia="Cambria" w:cstheme="minorHAnsi"/>
          <w:shd w:val="clear" w:color="auto" w:fill="FFFFFF"/>
          <w:vertAlign w:val="superscript"/>
          <w:lang w:val="en-MY"/>
        </w:rPr>
        <w:t>rd</w:t>
      </w:r>
      <w:r w:rsidRPr="007A7BA0">
        <w:rPr>
          <w:rFonts w:eastAsia="Cambria" w:cstheme="minorHAnsi"/>
          <w:shd w:val="clear" w:color="auto" w:fill="FFFFFF"/>
          <w:lang w:val="en-MY"/>
        </w:rPr>
        <w:t xml:space="preserve"> day showed full re</w:t>
      </w:r>
      <w:r w:rsidR="00902074" w:rsidRPr="007A7BA0">
        <w:rPr>
          <w:rFonts w:eastAsia="Cambria" w:cstheme="minorHAnsi"/>
          <w:shd w:val="clear" w:color="auto" w:fill="FFFFFF"/>
          <w:lang w:val="en-MY"/>
        </w:rPr>
        <w:t>-</w:t>
      </w:r>
      <w:r w:rsidRPr="007A7BA0">
        <w:rPr>
          <w:rFonts w:eastAsia="Cambria" w:cstheme="minorHAnsi"/>
          <w:shd w:val="clear" w:color="auto" w:fill="FFFFFF"/>
          <w:lang w:val="en-MY"/>
        </w:rPr>
        <w:t xml:space="preserve">expansion of </w:t>
      </w:r>
      <w:r w:rsidR="00902074" w:rsidRPr="007A7BA0">
        <w:rPr>
          <w:rFonts w:eastAsia="Cambria" w:cstheme="minorHAnsi"/>
          <w:shd w:val="clear" w:color="auto" w:fill="FFFFFF"/>
          <w:lang w:val="en-MY"/>
        </w:rPr>
        <w:t xml:space="preserve">the </w:t>
      </w:r>
      <w:r w:rsidRPr="007A7BA0">
        <w:rPr>
          <w:rFonts w:eastAsia="Cambria" w:cstheme="minorHAnsi"/>
          <w:shd w:val="clear" w:color="auto" w:fill="FFFFFF"/>
          <w:lang w:val="en-MY"/>
        </w:rPr>
        <w:t>left lung.</w:t>
      </w:r>
    </w:p>
    <w:p w14:paraId="5D12A76A" w14:textId="77777777" w:rsidR="00902074" w:rsidRPr="007A7BA0" w:rsidRDefault="00902074" w:rsidP="007A7BA0">
      <w:pPr>
        <w:pStyle w:val="NormalWeb"/>
        <w:jc w:val="center"/>
        <w:textAlignment w:val="baseline"/>
        <w:rPr>
          <w:rFonts w:eastAsia="Cambria" w:cstheme="minorHAnsi"/>
        </w:rPr>
      </w:pPr>
    </w:p>
    <w:p w14:paraId="2FAD798E" w14:textId="77777777" w:rsidR="00E15F88" w:rsidRPr="007A7BA0" w:rsidRDefault="00000000" w:rsidP="007A7BA0">
      <w:pPr>
        <w:pStyle w:val="NormalWeb"/>
        <w:jc w:val="center"/>
        <w:textAlignment w:val="baseline"/>
        <w:rPr>
          <w:rFonts w:eastAsia="Cambria" w:cstheme="minorHAnsi"/>
          <w:shd w:val="clear" w:color="auto" w:fill="FFFFFF"/>
        </w:rPr>
      </w:pPr>
      <w:r w:rsidRPr="007A7BA0">
        <w:rPr>
          <w:rFonts w:eastAsia="Cambria" w:cstheme="minorHAnsi"/>
          <w:b/>
          <w:bCs/>
          <w:shd w:val="clear" w:color="auto" w:fill="FFFFFF"/>
        </w:rPr>
        <w:t>Discussion</w:t>
      </w:r>
    </w:p>
    <w:p w14:paraId="4F84EA2F" w14:textId="583BD134" w:rsidR="00E15F88" w:rsidRPr="007A7BA0" w:rsidRDefault="00902074" w:rsidP="00730A5B">
      <w:pPr>
        <w:pStyle w:val="NormalWeb"/>
        <w:jc w:val="center"/>
        <w:textAlignment w:val="baseline"/>
        <w:rPr>
          <w:rFonts w:eastAsia="Cambria" w:cstheme="minorHAnsi"/>
          <w:shd w:val="clear" w:color="auto" w:fill="FFFFFF"/>
          <w:lang w:val="en-MY"/>
        </w:rPr>
      </w:pPr>
      <w:r w:rsidRPr="007A7BA0">
        <w:rPr>
          <w:rFonts w:eastAsia="Cambria" w:cstheme="minorHAnsi"/>
          <w:highlight w:val="yellow"/>
          <w:shd w:val="clear" w:color="auto" w:fill="FFFFFF"/>
          <w:lang w:val="en-MY"/>
        </w:rPr>
        <w:t xml:space="preserve">Standard recommendation of relieving a massive </w:t>
      </w:r>
      <w:r w:rsidR="00730A5B">
        <w:rPr>
          <w:rFonts w:eastAsia="Cambria" w:cstheme="minorHAnsi"/>
          <w:highlight w:val="yellow"/>
          <w:shd w:val="clear" w:color="auto" w:fill="FFFFFF"/>
          <w:lang w:val="en-MY"/>
        </w:rPr>
        <w:t>p</w:t>
      </w:r>
      <w:r w:rsidRPr="007A7BA0">
        <w:rPr>
          <w:rFonts w:eastAsia="Cambria" w:cstheme="minorHAnsi"/>
          <w:highlight w:val="yellow"/>
          <w:shd w:val="clear" w:color="auto" w:fill="FFFFFF"/>
          <w:lang w:val="en-MY"/>
        </w:rPr>
        <w:t>neumothorax is by chest tube insertion</w:t>
      </w:r>
      <w:r w:rsidR="00596955" w:rsidRPr="007A7BA0">
        <w:rPr>
          <w:rFonts w:eastAsia="Cambria" w:cstheme="minorHAnsi"/>
          <w:highlight w:val="yellow"/>
          <w:shd w:val="clear" w:color="auto" w:fill="FFFFFF"/>
          <w:vertAlign w:val="superscript"/>
          <w:lang w:val="en-MY"/>
        </w:rPr>
        <w:t>7</w:t>
      </w:r>
      <w:r w:rsidRPr="007A7BA0">
        <w:rPr>
          <w:rFonts w:eastAsia="Cambria" w:cstheme="minorHAnsi"/>
          <w:highlight w:val="yellow"/>
          <w:shd w:val="clear" w:color="auto" w:fill="FFFFFF"/>
          <w:lang w:val="en-MY"/>
        </w:rPr>
        <w:t xml:space="preserve">. </w:t>
      </w:r>
      <w:r w:rsidR="00DE6653" w:rsidRPr="007A7BA0">
        <w:rPr>
          <w:rFonts w:eastAsia="Cambria" w:cstheme="minorHAnsi"/>
          <w:shd w:val="clear" w:color="auto" w:fill="FFFFFF"/>
          <w:lang w:val="en-MY"/>
        </w:rPr>
        <w:t xml:space="preserve">Due to her high BMI and </w:t>
      </w:r>
      <w:r w:rsidR="00730A5B">
        <w:rPr>
          <w:rFonts w:eastAsia="Cambria" w:cstheme="minorHAnsi"/>
          <w:shd w:val="clear" w:color="auto" w:fill="FFFFFF"/>
          <w:lang w:val="en-MY"/>
        </w:rPr>
        <w:t>hypocoagulability</w:t>
      </w:r>
      <w:r w:rsidR="00DE6653" w:rsidRPr="007A7BA0">
        <w:rPr>
          <w:rFonts w:eastAsia="Cambria" w:cstheme="minorHAnsi"/>
          <w:shd w:val="clear" w:color="auto" w:fill="FFFFFF"/>
          <w:lang w:val="en-MY"/>
        </w:rPr>
        <w:t>, we anticipated an increased risk of bleeding and potential procedural difficulties</w:t>
      </w:r>
      <w:r w:rsidR="00DE6653" w:rsidRPr="007A7BA0">
        <w:rPr>
          <w:rFonts w:eastAsia="Cambria" w:cstheme="minorHAnsi"/>
          <w:shd w:val="clear" w:color="auto" w:fill="FFFFFF"/>
          <w:vertAlign w:val="superscript"/>
          <w:lang w:val="en-MY"/>
        </w:rPr>
        <w:t>9</w:t>
      </w:r>
      <w:r w:rsidR="00730A5B">
        <w:rPr>
          <w:rFonts w:eastAsia="Cambria" w:cstheme="minorHAnsi"/>
          <w:shd w:val="clear" w:color="auto" w:fill="FFFFFF"/>
          <w:lang w:val="en-MY"/>
        </w:rPr>
        <w:t xml:space="preserve"> hence the decision to insert an small bore catheter was done. Numerous studies shown that small bore catheters associated with fewer complications in obese patients, with comparable efficacy, length of hospital stay and mortality rates to large bore tube. </w:t>
      </w:r>
      <w:r w:rsidR="00000000" w:rsidRPr="007A7BA0">
        <w:rPr>
          <w:rFonts w:eastAsia="Cambria" w:cstheme="minorHAnsi"/>
          <w:shd w:val="clear" w:color="auto" w:fill="FFFFFF"/>
          <w:lang w:val="en-MY"/>
        </w:rPr>
        <w:t xml:space="preserve">In order </w:t>
      </w:r>
      <w:r w:rsidR="00730A5B">
        <w:rPr>
          <w:rFonts w:eastAsia="Cambria" w:cstheme="minorHAnsi"/>
          <w:shd w:val="clear" w:color="auto" w:fill="FFFFFF"/>
          <w:lang w:val="en-MY"/>
        </w:rPr>
        <w:t>to balance</w:t>
      </w:r>
      <w:r w:rsidR="00730A5B" w:rsidRPr="007A7BA0">
        <w:rPr>
          <w:rFonts w:eastAsia="Cambria" w:cstheme="minorHAnsi"/>
          <w:shd w:val="clear" w:color="auto" w:fill="FFFFFF"/>
          <w:lang w:val="en-MY"/>
        </w:rPr>
        <w:t xml:space="preserve"> the</w:t>
      </w:r>
      <w:r w:rsidR="00000000" w:rsidRPr="007A7BA0">
        <w:rPr>
          <w:rFonts w:eastAsia="Cambria" w:cstheme="minorHAnsi"/>
          <w:shd w:val="clear" w:color="auto" w:fill="FFFFFF"/>
          <w:lang w:val="en-MY"/>
        </w:rPr>
        <w:t xml:space="preserve"> risk of anticoagulant</w:t>
      </w:r>
      <w:r w:rsidR="00730A5B">
        <w:rPr>
          <w:rFonts w:eastAsia="Cambria" w:cstheme="minorHAnsi"/>
          <w:shd w:val="clear" w:color="auto" w:fill="FFFFFF"/>
          <w:lang w:val="en-MY"/>
        </w:rPr>
        <w:t xml:space="preserve"> reversal</w:t>
      </w:r>
      <w:r w:rsidR="00000000" w:rsidRPr="007A7BA0">
        <w:rPr>
          <w:rFonts w:eastAsia="Cambria" w:cstheme="minorHAnsi"/>
          <w:shd w:val="clear" w:color="auto" w:fill="FFFFFF"/>
          <w:lang w:val="en-MY"/>
        </w:rPr>
        <w:t xml:space="preserve"> and thromboembolism in this case, an INR level of 1.4 - 2.0 would be reasonable </w:t>
      </w:r>
      <w:r w:rsidR="00730A5B">
        <w:rPr>
          <w:rFonts w:eastAsia="Cambria" w:cstheme="minorHAnsi"/>
          <w:shd w:val="clear" w:color="auto" w:fill="FFFFFF"/>
          <w:lang w:val="en-MY"/>
        </w:rPr>
        <w:t>pre-</w:t>
      </w:r>
      <w:r w:rsidR="00000000" w:rsidRPr="007A7BA0">
        <w:rPr>
          <w:rFonts w:eastAsia="Cambria" w:cstheme="minorHAnsi"/>
          <w:shd w:val="clear" w:color="auto" w:fill="FFFFFF"/>
          <w:lang w:val="en-MY"/>
        </w:rPr>
        <w:t>procedure.</w:t>
      </w:r>
    </w:p>
    <w:p w14:paraId="3918E99D" w14:textId="77777777" w:rsidR="00E15F88" w:rsidRPr="007A7BA0" w:rsidRDefault="00E15F88" w:rsidP="007A7BA0">
      <w:pPr>
        <w:pStyle w:val="NormalWeb"/>
        <w:jc w:val="center"/>
        <w:textAlignment w:val="baseline"/>
        <w:rPr>
          <w:rFonts w:eastAsia="Cambria" w:cstheme="minorHAnsi"/>
          <w:shd w:val="clear" w:color="auto" w:fill="FFFFFF"/>
          <w:lang w:val="en-MY"/>
        </w:rPr>
      </w:pPr>
    </w:p>
    <w:p w14:paraId="0BC6EC07" w14:textId="77777777" w:rsidR="00E15F88" w:rsidRPr="007A7BA0" w:rsidRDefault="00000000" w:rsidP="007A7BA0">
      <w:pPr>
        <w:pStyle w:val="NormalWeb"/>
        <w:jc w:val="center"/>
        <w:textAlignment w:val="baseline"/>
        <w:rPr>
          <w:rFonts w:eastAsia="Cambria" w:cstheme="minorHAnsi"/>
          <w:b/>
          <w:bCs/>
          <w:shd w:val="clear" w:color="auto" w:fill="FFFFFF"/>
          <w:lang w:val="en-MY"/>
        </w:rPr>
      </w:pPr>
      <w:r w:rsidRPr="007A7BA0">
        <w:rPr>
          <w:rFonts w:eastAsia="Cambria" w:cstheme="minorHAnsi"/>
          <w:b/>
          <w:bCs/>
          <w:shd w:val="clear" w:color="auto" w:fill="FFFFFF"/>
          <w:lang w:val="en-MY"/>
        </w:rPr>
        <w:t>Conclusion</w:t>
      </w:r>
    </w:p>
    <w:p w14:paraId="695980A9" w14:textId="76AC4D79" w:rsidR="00E15F88" w:rsidRPr="007A7BA0" w:rsidRDefault="00000000" w:rsidP="007A7BA0">
      <w:pPr>
        <w:pStyle w:val="NormalWeb"/>
        <w:jc w:val="center"/>
        <w:textAlignment w:val="baseline"/>
        <w:rPr>
          <w:rFonts w:eastAsia="Cambria" w:cstheme="minorHAnsi"/>
          <w:shd w:val="clear" w:color="auto" w:fill="FFFFFF"/>
          <w:lang w:val="en-MY"/>
        </w:rPr>
      </w:pPr>
      <w:r w:rsidRPr="007A7BA0">
        <w:rPr>
          <w:rFonts w:eastAsia="Cambria" w:cstheme="minorHAnsi"/>
          <w:shd w:val="clear" w:color="auto" w:fill="FFFFFF"/>
          <w:lang w:val="en-MY"/>
        </w:rPr>
        <w:t xml:space="preserve">The management of the pneumothorax needs to be individualised depending on the complexity of the case. In this case, </w:t>
      </w:r>
      <w:r w:rsidR="00951227" w:rsidRPr="007A7BA0">
        <w:rPr>
          <w:rFonts w:eastAsia="Cambria" w:cstheme="minorHAnsi"/>
          <w:shd w:val="clear" w:color="auto" w:fill="FFFFFF"/>
          <w:lang w:val="en-MY"/>
        </w:rPr>
        <w:t xml:space="preserve">we </w:t>
      </w:r>
      <w:r w:rsidR="007A7BA0" w:rsidRPr="007A7BA0">
        <w:rPr>
          <w:rFonts w:eastAsia="Cambria" w:cstheme="minorHAnsi"/>
          <w:shd w:val="clear" w:color="auto" w:fill="FFFFFF"/>
          <w:lang w:val="en-MY"/>
        </w:rPr>
        <w:t xml:space="preserve">proposed an IPC insertion </w:t>
      </w:r>
      <w:r w:rsidR="00900A10">
        <w:rPr>
          <w:rFonts w:eastAsia="Cambria" w:cstheme="minorHAnsi"/>
          <w:shd w:val="clear" w:color="auto" w:fill="FFFFFF"/>
          <w:lang w:val="en-MY"/>
        </w:rPr>
        <w:t xml:space="preserve">as a viable option of pleural drainage </w:t>
      </w:r>
      <w:r w:rsidR="007A7BA0" w:rsidRPr="007A7BA0">
        <w:rPr>
          <w:rFonts w:eastAsia="Cambria" w:cstheme="minorHAnsi"/>
          <w:shd w:val="clear" w:color="auto" w:fill="FFFFFF"/>
          <w:lang w:val="en-MY"/>
        </w:rPr>
        <w:t>for a patient with high BMI and higher bleeding tendency to minimize possible complications.</w:t>
      </w:r>
    </w:p>
    <w:p w14:paraId="29A9D579" w14:textId="77777777" w:rsidR="00E15F88" w:rsidRPr="007A7BA0" w:rsidRDefault="00E15F88" w:rsidP="007A7BA0">
      <w:pPr>
        <w:pStyle w:val="NormalWeb"/>
        <w:jc w:val="center"/>
        <w:textAlignment w:val="baseline"/>
        <w:rPr>
          <w:rFonts w:eastAsia="Cambria" w:cstheme="minorHAnsi"/>
          <w:shd w:val="clear" w:color="auto" w:fill="FFFFFF"/>
          <w:lang w:val="en-MY"/>
        </w:rPr>
      </w:pPr>
    </w:p>
    <w:p w14:paraId="736F4305" w14:textId="77777777" w:rsidR="00E15F88" w:rsidRPr="007A7BA0" w:rsidRDefault="00E15F88" w:rsidP="007A7BA0">
      <w:pPr>
        <w:pStyle w:val="FootnoteText"/>
        <w:jc w:val="center"/>
        <w:rPr>
          <w:rFonts w:eastAsia="Cambria" w:cstheme="minorHAnsi"/>
          <w:b/>
          <w:bCs/>
          <w:color w:val="212121"/>
          <w:sz w:val="24"/>
          <w:szCs w:val="24"/>
          <w:lang w:val="en-MY"/>
        </w:rPr>
      </w:pPr>
    </w:p>
    <w:p w14:paraId="0E6AFC46" w14:textId="77777777" w:rsidR="00E15F88" w:rsidRPr="007A7BA0" w:rsidRDefault="00E15F88" w:rsidP="007A7BA0">
      <w:pPr>
        <w:pStyle w:val="FootnoteText"/>
        <w:jc w:val="center"/>
        <w:rPr>
          <w:rFonts w:eastAsia="Cambria" w:cstheme="minorHAnsi"/>
          <w:b/>
          <w:bCs/>
          <w:color w:val="212121"/>
          <w:sz w:val="24"/>
          <w:szCs w:val="24"/>
          <w:lang w:val="en-MY"/>
        </w:rPr>
      </w:pPr>
    </w:p>
    <w:p w14:paraId="395CBACF" w14:textId="77777777" w:rsidR="00E15F88" w:rsidRPr="007A7BA0" w:rsidRDefault="00E15F88" w:rsidP="007A7BA0">
      <w:pPr>
        <w:pStyle w:val="FootnoteText"/>
        <w:jc w:val="center"/>
        <w:rPr>
          <w:rFonts w:eastAsia="Cambria" w:cstheme="minorHAnsi"/>
          <w:b/>
          <w:bCs/>
          <w:color w:val="212121"/>
          <w:sz w:val="24"/>
          <w:szCs w:val="24"/>
          <w:lang w:val="en-MY"/>
        </w:rPr>
      </w:pPr>
    </w:p>
    <w:p w14:paraId="35776593" w14:textId="77777777" w:rsidR="00E15F88" w:rsidRPr="007A7BA0" w:rsidRDefault="00E15F88" w:rsidP="007A7BA0">
      <w:pPr>
        <w:pStyle w:val="FootnoteText"/>
        <w:jc w:val="center"/>
        <w:rPr>
          <w:rFonts w:eastAsia="Cambria" w:cstheme="minorHAnsi"/>
          <w:b/>
          <w:bCs/>
          <w:color w:val="212121"/>
          <w:sz w:val="24"/>
          <w:szCs w:val="24"/>
          <w:lang w:val="en-MY"/>
        </w:rPr>
      </w:pPr>
    </w:p>
    <w:p w14:paraId="40809218" w14:textId="77777777" w:rsidR="00E15F88" w:rsidRPr="007A7BA0" w:rsidRDefault="00E15F88" w:rsidP="007A7BA0">
      <w:pPr>
        <w:pStyle w:val="FootnoteText"/>
        <w:jc w:val="center"/>
        <w:rPr>
          <w:rFonts w:eastAsia="Cambria" w:cstheme="minorHAnsi"/>
          <w:b/>
          <w:bCs/>
          <w:color w:val="212121"/>
          <w:sz w:val="24"/>
          <w:szCs w:val="24"/>
          <w:lang w:val="en-MY"/>
        </w:rPr>
      </w:pPr>
    </w:p>
    <w:p w14:paraId="1F716675" w14:textId="77777777" w:rsidR="00E15F88" w:rsidRPr="007A7BA0" w:rsidRDefault="00E15F88" w:rsidP="007A7BA0">
      <w:pPr>
        <w:pStyle w:val="FootnoteText"/>
        <w:jc w:val="center"/>
        <w:rPr>
          <w:rFonts w:eastAsia="Cambria" w:cstheme="minorHAnsi"/>
          <w:b/>
          <w:bCs/>
          <w:color w:val="212121"/>
          <w:sz w:val="24"/>
          <w:szCs w:val="24"/>
          <w:lang w:val="en-MY"/>
        </w:rPr>
      </w:pPr>
    </w:p>
    <w:p w14:paraId="7CFFB128" w14:textId="77777777" w:rsidR="00E15F88" w:rsidRPr="007A7BA0" w:rsidRDefault="00E15F88" w:rsidP="007A7BA0">
      <w:pPr>
        <w:spacing w:after="160" w:line="259" w:lineRule="auto"/>
        <w:jc w:val="center"/>
        <w:rPr>
          <w:rFonts w:eastAsia="Cambria" w:cstheme="minorHAnsi"/>
          <w:b/>
          <w:bCs/>
          <w:color w:val="000000" w:themeColor="text1"/>
          <w:sz w:val="24"/>
          <w:szCs w:val="24"/>
          <w:lang w:val="en-MY"/>
        </w:rPr>
      </w:pPr>
    </w:p>
    <w:p w14:paraId="7E10445D" w14:textId="77777777" w:rsidR="00E15F88" w:rsidRPr="007A7BA0" w:rsidRDefault="00E15F88" w:rsidP="007A7BA0">
      <w:pPr>
        <w:spacing w:after="160" w:line="259" w:lineRule="auto"/>
        <w:jc w:val="center"/>
        <w:rPr>
          <w:rFonts w:eastAsia="Cambria" w:cstheme="minorHAnsi"/>
          <w:b/>
          <w:bCs/>
          <w:color w:val="000000" w:themeColor="text1"/>
          <w:sz w:val="24"/>
          <w:szCs w:val="24"/>
          <w:lang w:val="en-MY"/>
        </w:rPr>
      </w:pPr>
    </w:p>
    <w:p w14:paraId="39865210" w14:textId="2C518CEB" w:rsidR="00E15F88" w:rsidRPr="007A7BA0" w:rsidRDefault="00951227" w:rsidP="007A7BA0">
      <w:pPr>
        <w:jc w:val="center"/>
        <w:rPr>
          <w:rFonts w:eastAsia="Cambria" w:cstheme="minorHAnsi"/>
          <w:b/>
          <w:bCs/>
          <w:color w:val="000000" w:themeColor="text1"/>
          <w:sz w:val="24"/>
          <w:szCs w:val="24"/>
          <w:lang w:val="en-GB"/>
        </w:rPr>
      </w:pPr>
      <w:r w:rsidRPr="007A7BA0">
        <w:rPr>
          <w:rFonts w:eastAsia="Cambria" w:cstheme="minorHAnsi"/>
          <w:b/>
          <w:bCs/>
          <w:color w:val="000000" w:themeColor="text1"/>
          <w:sz w:val="24"/>
          <w:szCs w:val="24"/>
          <w:lang w:val="en-GB"/>
        </w:rPr>
        <w:t>Keywords</w:t>
      </w:r>
    </w:p>
    <w:p w14:paraId="40EBBA7A" w14:textId="77777777" w:rsidR="007A7BA0" w:rsidRPr="007A7BA0" w:rsidRDefault="007A7BA0" w:rsidP="007A7BA0">
      <w:pPr>
        <w:jc w:val="center"/>
        <w:rPr>
          <w:rFonts w:eastAsia="Cambria" w:cstheme="minorHAnsi"/>
          <w:b/>
          <w:bCs/>
          <w:color w:val="000000" w:themeColor="text1"/>
          <w:sz w:val="24"/>
          <w:szCs w:val="24"/>
          <w:lang w:val="en-GB"/>
        </w:rPr>
      </w:pPr>
    </w:p>
    <w:p w14:paraId="5FA30662" w14:textId="13A44542" w:rsidR="007A7BA0" w:rsidRPr="007A7BA0" w:rsidRDefault="007A7BA0" w:rsidP="007A7BA0">
      <w:pPr>
        <w:jc w:val="center"/>
        <w:rPr>
          <w:rFonts w:eastAsia="Cambria" w:cstheme="minorHAnsi"/>
          <w:color w:val="000000" w:themeColor="text1"/>
          <w:sz w:val="24"/>
          <w:szCs w:val="24"/>
          <w:lang w:val="en-GB"/>
        </w:rPr>
      </w:pPr>
      <w:r w:rsidRPr="007A7BA0">
        <w:rPr>
          <w:rFonts w:eastAsia="Cambria" w:cstheme="minorHAnsi"/>
          <w:color w:val="000000" w:themeColor="text1"/>
          <w:sz w:val="24"/>
          <w:szCs w:val="24"/>
          <w:lang w:val="en-GB"/>
        </w:rPr>
        <w:t xml:space="preserve">Spontaneous pneumothorax, indwelling pleural </w:t>
      </w:r>
      <w:proofErr w:type="spellStart"/>
      <w:r w:rsidRPr="007A7BA0">
        <w:rPr>
          <w:rFonts w:eastAsia="Cambria" w:cstheme="minorHAnsi"/>
          <w:color w:val="000000" w:themeColor="text1"/>
          <w:sz w:val="24"/>
          <w:szCs w:val="24"/>
          <w:lang w:val="en-GB"/>
        </w:rPr>
        <w:t>cathether</w:t>
      </w:r>
      <w:proofErr w:type="spellEnd"/>
      <w:r w:rsidRPr="007A7BA0">
        <w:rPr>
          <w:rFonts w:eastAsia="Cambria" w:cstheme="minorHAnsi"/>
          <w:color w:val="000000" w:themeColor="text1"/>
          <w:sz w:val="24"/>
          <w:szCs w:val="24"/>
          <w:lang w:val="en-GB"/>
        </w:rPr>
        <w:t xml:space="preserve"> (IPC), anticoagulation management</w:t>
      </w:r>
    </w:p>
    <w:p w14:paraId="4ECF079D" w14:textId="77777777" w:rsidR="007A7BA0" w:rsidRPr="007A7BA0" w:rsidRDefault="007A7BA0" w:rsidP="007A7BA0">
      <w:pPr>
        <w:rPr>
          <w:rFonts w:eastAsia="Cambria" w:cstheme="minorHAnsi"/>
          <w:color w:val="000000" w:themeColor="text1"/>
          <w:sz w:val="24"/>
          <w:szCs w:val="24"/>
          <w:lang w:val="en-GB"/>
        </w:rPr>
      </w:pPr>
    </w:p>
    <w:p w14:paraId="2EA740E6" w14:textId="77777777" w:rsidR="007A7BA0" w:rsidRPr="007A7BA0" w:rsidRDefault="007A7BA0" w:rsidP="007A7BA0">
      <w:pPr>
        <w:rPr>
          <w:rFonts w:eastAsia="Cambria" w:cstheme="minorHAnsi"/>
          <w:color w:val="000000" w:themeColor="text1"/>
          <w:sz w:val="24"/>
          <w:szCs w:val="24"/>
          <w:lang w:val="en-GB"/>
        </w:rPr>
      </w:pPr>
    </w:p>
    <w:p w14:paraId="5A4E7F1B" w14:textId="77777777" w:rsidR="007A7BA0" w:rsidRPr="007A7BA0" w:rsidRDefault="007A7BA0" w:rsidP="007A7BA0">
      <w:pPr>
        <w:rPr>
          <w:rFonts w:eastAsia="Cambria" w:cstheme="minorHAnsi"/>
          <w:color w:val="000000" w:themeColor="text1"/>
          <w:sz w:val="24"/>
          <w:szCs w:val="24"/>
          <w:lang w:val="en-GB"/>
        </w:rPr>
      </w:pPr>
    </w:p>
    <w:p w14:paraId="12AAEBF1" w14:textId="50C276FA" w:rsidR="007A7BA0" w:rsidRPr="007A7BA0" w:rsidRDefault="007A7BA0" w:rsidP="007A7BA0">
      <w:pPr>
        <w:rPr>
          <w:rFonts w:eastAsia="Cambria" w:cstheme="minorHAnsi"/>
          <w:color w:val="000000" w:themeColor="text1"/>
          <w:sz w:val="24"/>
          <w:szCs w:val="24"/>
          <w:lang w:val="en-GB"/>
        </w:rPr>
      </w:pPr>
      <w:r w:rsidRPr="007A7BA0">
        <w:rPr>
          <w:rFonts w:eastAsia="Cambria" w:cstheme="minorHAnsi"/>
          <w:color w:val="000000" w:themeColor="text1"/>
          <w:sz w:val="24"/>
          <w:szCs w:val="24"/>
          <w:lang w:val="en-GB"/>
        </w:rPr>
        <w:t>Details:</w:t>
      </w:r>
    </w:p>
    <w:p w14:paraId="2BB9E910" w14:textId="77777777" w:rsidR="007A7BA0" w:rsidRDefault="007A7BA0" w:rsidP="007A7BA0">
      <w:pPr>
        <w:pStyle w:val="NormalWeb"/>
        <w:numPr>
          <w:ilvl w:val="0"/>
          <w:numId w:val="3"/>
        </w:numPr>
        <w:shd w:val="clear" w:color="auto" w:fill="FFFFFF"/>
        <w:spacing w:before="100" w:beforeAutospacing="1" w:after="100" w:afterAutospacing="1"/>
        <w:rPr>
          <w:rFonts w:eastAsia="Times New Roman" w:cstheme="minorHAnsi"/>
          <w:color w:val="1E2835"/>
          <w:lang w:val="en-MY" w:eastAsia="en-GB"/>
        </w:rPr>
      </w:pPr>
      <w:r w:rsidRPr="007A7BA0">
        <w:rPr>
          <w:rFonts w:eastAsia="SimSun" w:cstheme="minorHAnsi"/>
          <w:b/>
          <w:bCs/>
          <w:color w:val="303030"/>
          <w:shd w:val="clear" w:color="auto" w:fill="FFFFFF"/>
          <w:lang w:val="en-MY"/>
        </w:rPr>
        <w:t>Word count</w:t>
      </w:r>
      <w:r>
        <w:rPr>
          <w:rFonts w:eastAsia="SimSun" w:cstheme="minorHAnsi"/>
          <w:color w:val="303030"/>
          <w:shd w:val="clear" w:color="auto" w:fill="FFFFFF"/>
          <w:lang w:val="en-MY"/>
        </w:rPr>
        <w:t xml:space="preserve"> (</w:t>
      </w:r>
      <w:r w:rsidRPr="007A7BA0">
        <w:rPr>
          <w:rFonts w:eastAsia="Times New Roman" w:cstheme="minorHAnsi"/>
          <w:color w:val="1E2835"/>
          <w:lang w:val="en-MY" w:eastAsia="en-GB"/>
        </w:rPr>
        <w:t>not including title, authors and affiliations</w:t>
      </w:r>
      <w:r>
        <w:rPr>
          <w:rFonts w:eastAsia="Times New Roman" w:cstheme="minorHAnsi"/>
          <w:color w:val="1E2835"/>
          <w:lang w:val="en-MY" w:eastAsia="en-GB"/>
        </w:rPr>
        <w:t>)</w:t>
      </w:r>
    </w:p>
    <w:p w14:paraId="2B06622B" w14:textId="6E019DE7" w:rsidR="007A7BA0" w:rsidRPr="007A7BA0" w:rsidRDefault="00730A5B" w:rsidP="00900A10">
      <w:pPr>
        <w:pStyle w:val="NormalWeb"/>
        <w:shd w:val="clear" w:color="auto" w:fill="FFFFFF"/>
        <w:spacing w:before="100" w:beforeAutospacing="1" w:after="100" w:afterAutospacing="1"/>
        <w:ind w:left="720"/>
        <w:rPr>
          <w:rFonts w:eastAsia="Times New Roman" w:cstheme="minorHAnsi"/>
          <w:color w:val="1E2835"/>
          <w:lang w:val="en-MY" w:eastAsia="en-GB"/>
        </w:rPr>
      </w:pPr>
      <w:r>
        <w:rPr>
          <w:rFonts w:eastAsia="Times New Roman" w:cstheme="minorHAnsi"/>
          <w:color w:val="1E2835"/>
          <w:lang w:val="en-MY" w:eastAsia="en-GB"/>
        </w:rPr>
        <w:t>325</w:t>
      </w:r>
    </w:p>
    <w:p w14:paraId="41176D4D" w14:textId="77777777" w:rsidR="007A7BA0" w:rsidRPr="007A7BA0" w:rsidRDefault="007A7BA0" w:rsidP="007A7BA0">
      <w:pPr>
        <w:pStyle w:val="ListParagraph"/>
        <w:numPr>
          <w:ilvl w:val="0"/>
          <w:numId w:val="3"/>
        </w:numPr>
        <w:spacing w:before="100" w:beforeAutospacing="1" w:after="100" w:afterAutospacing="1"/>
        <w:rPr>
          <w:rFonts w:eastAsia="Times New Roman" w:cstheme="minorHAnsi"/>
          <w:color w:val="000000"/>
          <w:sz w:val="24"/>
          <w:szCs w:val="24"/>
          <w:lang w:val="en-MY" w:eastAsia="en-GB"/>
        </w:rPr>
      </w:pPr>
      <w:r w:rsidRPr="007A7BA0">
        <w:rPr>
          <w:rFonts w:eastAsia="Times New Roman" w:cstheme="minorHAnsi"/>
          <w:b/>
          <w:bCs/>
          <w:color w:val="000000"/>
          <w:sz w:val="24"/>
          <w:szCs w:val="24"/>
          <w:lang w:val="en-MY" w:eastAsia="en-GB"/>
        </w:rPr>
        <w:t>Conflict of Interest Statement</w:t>
      </w:r>
    </w:p>
    <w:p w14:paraId="1F405544" w14:textId="77777777" w:rsidR="007A7BA0" w:rsidRPr="007A7BA0" w:rsidRDefault="007A7BA0" w:rsidP="007A7BA0">
      <w:pPr>
        <w:pStyle w:val="ListParagraph"/>
        <w:spacing w:before="100" w:beforeAutospacing="1" w:after="100" w:afterAutospacing="1"/>
        <w:rPr>
          <w:rFonts w:eastAsia="Times New Roman" w:cstheme="minorHAnsi"/>
          <w:color w:val="000000"/>
          <w:sz w:val="24"/>
          <w:szCs w:val="24"/>
          <w:lang w:val="en-MY" w:eastAsia="en-GB"/>
        </w:rPr>
      </w:pPr>
    </w:p>
    <w:p w14:paraId="4DDC2F1C" w14:textId="054AE45C" w:rsidR="007A7BA0" w:rsidRPr="007A7BA0" w:rsidRDefault="007A7BA0" w:rsidP="007A7BA0">
      <w:pPr>
        <w:pStyle w:val="ListParagraph"/>
        <w:spacing w:before="100" w:beforeAutospacing="1" w:after="100" w:afterAutospacing="1"/>
        <w:rPr>
          <w:rFonts w:eastAsia="Times New Roman" w:cstheme="minorHAnsi"/>
          <w:color w:val="000000"/>
          <w:sz w:val="24"/>
          <w:szCs w:val="24"/>
          <w:lang w:val="en-MY" w:eastAsia="en-GB"/>
        </w:rPr>
      </w:pPr>
      <w:r w:rsidRPr="007A7BA0">
        <w:rPr>
          <w:rFonts w:eastAsia="Times New Roman" w:cstheme="minorHAnsi"/>
          <w:color w:val="000000"/>
          <w:sz w:val="24"/>
          <w:szCs w:val="24"/>
          <w:lang w:val="en-MY" w:eastAsia="en-GB"/>
        </w:rPr>
        <w:t xml:space="preserve">The authors declare that they have no conflicts of interest regarding the publication of this </w:t>
      </w:r>
      <w:proofErr w:type="spellStart"/>
      <w:r w:rsidRPr="007A7BA0">
        <w:rPr>
          <w:rFonts w:eastAsia="Times New Roman" w:cstheme="minorHAnsi"/>
          <w:color w:val="000000"/>
          <w:sz w:val="24"/>
          <w:szCs w:val="24"/>
          <w:lang w:val="en-MY" w:eastAsia="en-GB"/>
        </w:rPr>
        <w:t>article.This</w:t>
      </w:r>
      <w:proofErr w:type="spellEnd"/>
      <w:r w:rsidRPr="007A7BA0">
        <w:rPr>
          <w:rFonts w:eastAsia="Times New Roman" w:cstheme="minorHAnsi"/>
          <w:color w:val="000000"/>
          <w:sz w:val="24"/>
          <w:szCs w:val="24"/>
          <w:lang w:val="en-MY" w:eastAsia="en-GB"/>
        </w:rPr>
        <w:t xml:space="preserve"> statement makes it clear that the authors do not have any financial, personal, or professional interests that could have influenced the work presented in the article.</w:t>
      </w:r>
    </w:p>
    <w:p w14:paraId="7830DA07" w14:textId="689587DC" w:rsidR="007A7BA0" w:rsidRPr="007A7BA0" w:rsidRDefault="007A7BA0" w:rsidP="007A7BA0">
      <w:pPr>
        <w:ind w:left="360"/>
        <w:rPr>
          <w:rFonts w:eastAsia="SimSun" w:cstheme="minorHAnsi"/>
          <w:color w:val="303030"/>
          <w:sz w:val="24"/>
          <w:szCs w:val="24"/>
          <w:shd w:val="clear" w:color="auto" w:fill="FFFFFF"/>
          <w:lang w:val="en-MY"/>
        </w:rPr>
      </w:pPr>
    </w:p>
    <w:sectPr w:rsidR="007A7BA0" w:rsidRPr="007A7BA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512F"/>
    <w:multiLevelType w:val="multilevel"/>
    <w:tmpl w:val="8C6C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FDEEE"/>
    <w:multiLevelType w:val="singleLevel"/>
    <w:tmpl w:val="4CEFDEEE"/>
    <w:lvl w:ilvl="0">
      <w:start w:val="1"/>
      <w:numFmt w:val="decimal"/>
      <w:suff w:val="space"/>
      <w:lvlText w:val="%1."/>
      <w:lvlJc w:val="left"/>
    </w:lvl>
  </w:abstractNum>
  <w:abstractNum w:abstractNumId="2" w15:restartNumberingAfterBreak="0">
    <w:nsid w:val="7C3553D3"/>
    <w:multiLevelType w:val="hybridMultilevel"/>
    <w:tmpl w:val="0E845F72"/>
    <w:lvl w:ilvl="0" w:tplc="84985FFE">
      <w:start w:val="1"/>
      <w:numFmt w:val="decimal"/>
      <w:lvlText w:val="%1."/>
      <w:lvlJc w:val="left"/>
      <w:pPr>
        <w:ind w:left="720" w:hanging="360"/>
      </w:pPr>
      <w:rPr>
        <w:rFonts w:eastAsia="Cambria"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23685">
    <w:abstractNumId w:val="1"/>
  </w:num>
  <w:num w:numId="2" w16cid:durableId="1432159793">
    <w:abstractNumId w:val="2"/>
  </w:num>
  <w:num w:numId="3" w16cid:durableId="180515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FF65F9"/>
    <w:rsid w:val="00021412"/>
    <w:rsid w:val="00040DCD"/>
    <w:rsid w:val="000B22EC"/>
    <w:rsid w:val="00375823"/>
    <w:rsid w:val="003A45CE"/>
    <w:rsid w:val="004D6750"/>
    <w:rsid w:val="00596955"/>
    <w:rsid w:val="00730A5B"/>
    <w:rsid w:val="007946D5"/>
    <w:rsid w:val="007A7BA0"/>
    <w:rsid w:val="0081479B"/>
    <w:rsid w:val="008155F4"/>
    <w:rsid w:val="0082295C"/>
    <w:rsid w:val="008B078D"/>
    <w:rsid w:val="00900A10"/>
    <w:rsid w:val="00902074"/>
    <w:rsid w:val="009318A4"/>
    <w:rsid w:val="00951227"/>
    <w:rsid w:val="009D0890"/>
    <w:rsid w:val="00A51E78"/>
    <w:rsid w:val="00B57371"/>
    <w:rsid w:val="00B6214B"/>
    <w:rsid w:val="00C23DB8"/>
    <w:rsid w:val="00D03DCA"/>
    <w:rsid w:val="00DE6653"/>
    <w:rsid w:val="00E15F88"/>
    <w:rsid w:val="00E31922"/>
    <w:rsid w:val="00F40CE3"/>
    <w:rsid w:val="01FF65F9"/>
    <w:rsid w:val="02D70386"/>
    <w:rsid w:val="03033B2C"/>
    <w:rsid w:val="04694E2E"/>
    <w:rsid w:val="04CDE162"/>
    <w:rsid w:val="0D3733A1"/>
    <w:rsid w:val="0D615EDD"/>
    <w:rsid w:val="129013CA"/>
    <w:rsid w:val="157D6158"/>
    <w:rsid w:val="15AB76F9"/>
    <w:rsid w:val="15EA07AF"/>
    <w:rsid w:val="18A717FC"/>
    <w:rsid w:val="1D020FDC"/>
    <w:rsid w:val="231A3FAC"/>
    <w:rsid w:val="25681D56"/>
    <w:rsid w:val="25EE5B10"/>
    <w:rsid w:val="25F03E2E"/>
    <w:rsid w:val="2CE44596"/>
    <w:rsid w:val="31ED036B"/>
    <w:rsid w:val="360E2E65"/>
    <w:rsid w:val="36586F87"/>
    <w:rsid w:val="38F809DF"/>
    <w:rsid w:val="3D0D68AE"/>
    <w:rsid w:val="3F860F44"/>
    <w:rsid w:val="40CB27D1"/>
    <w:rsid w:val="44D2286C"/>
    <w:rsid w:val="45A8EE12"/>
    <w:rsid w:val="46AC9EE3"/>
    <w:rsid w:val="46B12E74"/>
    <w:rsid w:val="486A30F3"/>
    <w:rsid w:val="48A933AD"/>
    <w:rsid w:val="4AC9BC8B"/>
    <w:rsid w:val="4D4D2FF3"/>
    <w:rsid w:val="5211321E"/>
    <w:rsid w:val="53DF3E95"/>
    <w:rsid w:val="576F4583"/>
    <w:rsid w:val="63B679AF"/>
    <w:rsid w:val="66B869BA"/>
    <w:rsid w:val="6821514E"/>
    <w:rsid w:val="6E0C38E7"/>
    <w:rsid w:val="6E27672B"/>
    <w:rsid w:val="6F1739EE"/>
    <w:rsid w:val="723C307A"/>
    <w:rsid w:val="73CD58D4"/>
    <w:rsid w:val="756E5051"/>
    <w:rsid w:val="77336A57"/>
    <w:rsid w:val="77D50B4F"/>
    <w:rsid w:val="78F71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115422"/>
  <w15:docId w15:val="{AFF68B6A-F474-494C-8B1E-9453028F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qFormat/>
    <w:rPr>
      <w:sz w:val="24"/>
      <w:szCs w:val="24"/>
    </w:rPr>
  </w:style>
  <w:style w:type="character" w:customStyle="1" w:styleId="FootnoteTextChar">
    <w:name w:val="Footnote Text Char"/>
    <w:basedOn w:val="DefaultParagraphFont"/>
    <w:link w:val="FootnoteText"/>
    <w:uiPriority w:val="99"/>
    <w:semiHidden/>
    <w:rPr>
      <w:rFonts w:asciiTheme="minorHAnsi" w:eastAsiaTheme="minorEastAsia" w:hAnsiTheme="minorHAnsi" w:cstheme="minorBidi"/>
      <w:lang w:eastAsia="zh-CN"/>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596955"/>
  </w:style>
  <w:style w:type="paragraph" w:styleId="NoSpacing">
    <w:name w:val="No Spacing"/>
    <w:uiPriority w:val="1"/>
    <w:qFormat/>
    <w:rsid w:val="0082295C"/>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7A7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0021">
      <w:bodyDiv w:val="1"/>
      <w:marLeft w:val="0"/>
      <w:marRight w:val="0"/>
      <w:marTop w:val="0"/>
      <w:marBottom w:val="0"/>
      <w:divBdr>
        <w:top w:val="none" w:sz="0" w:space="0" w:color="auto"/>
        <w:left w:val="none" w:sz="0" w:space="0" w:color="auto"/>
        <w:bottom w:val="none" w:sz="0" w:space="0" w:color="auto"/>
        <w:right w:val="none" w:sz="0" w:space="0" w:color="auto"/>
      </w:divBdr>
      <w:divsChild>
        <w:div w:id="1388407950">
          <w:marLeft w:val="0"/>
          <w:marRight w:val="0"/>
          <w:marTop w:val="0"/>
          <w:marBottom w:val="0"/>
          <w:divBdr>
            <w:top w:val="none" w:sz="0" w:space="0" w:color="auto"/>
            <w:left w:val="none" w:sz="0" w:space="0" w:color="auto"/>
            <w:bottom w:val="none" w:sz="0" w:space="0" w:color="auto"/>
            <w:right w:val="none" w:sz="0" w:space="0" w:color="auto"/>
          </w:divBdr>
          <w:divsChild>
            <w:div w:id="789129364">
              <w:marLeft w:val="0"/>
              <w:marRight w:val="0"/>
              <w:marTop w:val="0"/>
              <w:marBottom w:val="0"/>
              <w:divBdr>
                <w:top w:val="none" w:sz="0" w:space="0" w:color="auto"/>
                <w:left w:val="none" w:sz="0" w:space="0" w:color="auto"/>
                <w:bottom w:val="none" w:sz="0" w:space="0" w:color="auto"/>
                <w:right w:val="none" w:sz="0" w:space="0" w:color="auto"/>
              </w:divBdr>
              <w:divsChild>
                <w:div w:id="21441991">
                  <w:marLeft w:val="0"/>
                  <w:marRight w:val="0"/>
                  <w:marTop w:val="0"/>
                  <w:marBottom w:val="0"/>
                  <w:divBdr>
                    <w:top w:val="none" w:sz="0" w:space="0" w:color="auto"/>
                    <w:left w:val="none" w:sz="0" w:space="0" w:color="auto"/>
                    <w:bottom w:val="none" w:sz="0" w:space="0" w:color="auto"/>
                    <w:right w:val="none" w:sz="0" w:space="0" w:color="auto"/>
                  </w:divBdr>
                  <w:divsChild>
                    <w:div w:id="3020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4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1456-F7F7-4A3E-82AF-FFA4985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9</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MEXMOLLEN MARCUS</cp:lastModifiedBy>
  <cp:revision>3</cp:revision>
  <dcterms:created xsi:type="dcterms:W3CDTF">2024-05-30T15:02:00Z</dcterms:created>
  <dcterms:modified xsi:type="dcterms:W3CDTF">2024-05-30T15:18:00Z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2E700AC9D24E43ECA9889F243712D5C4_13</vt:lpwstr>
  </property>
</Properties>
</file>