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664B" w14:textId="77777777" w:rsidR="00C23C6B" w:rsidRDefault="00000000">
      <w:pPr>
        <w:spacing w:line="360" w:lineRule="auto"/>
        <w:ind w:left="180"/>
        <w:jc w:val="center"/>
        <w:rPr>
          <w:b/>
          <w:bCs/>
          <w:sz w:val="22"/>
          <w:szCs w:val="22"/>
        </w:rPr>
      </w:pPr>
      <w:r>
        <w:rPr>
          <w:b/>
          <w:bCs/>
          <w:sz w:val="22"/>
          <w:szCs w:val="22"/>
        </w:rPr>
        <w:t xml:space="preserve">A CASE REPORT: DIARRHETIC SHELLFISH POISONING IN PEDIATRIC </w:t>
      </w:r>
    </w:p>
    <w:p w14:paraId="6B19DB16" w14:textId="77777777" w:rsidR="00C23C6B" w:rsidRDefault="00000000">
      <w:pPr>
        <w:pStyle w:val="Bibliography1"/>
        <w:spacing w:line="276" w:lineRule="auto"/>
        <w:jc w:val="center"/>
        <w:rPr>
          <w:color w:val="000000"/>
          <w:sz w:val="22"/>
          <w:szCs w:val="22"/>
          <w:lang w:val="en-GB"/>
        </w:rPr>
      </w:pPr>
      <w:r>
        <w:rPr>
          <w:sz w:val="22"/>
          <w:szCs w:val="22"/>
          <w:lang w:val="en-GB"/>
        </w:rPr>
        <w:t xml:space="preserve">Ahmad </w:t>
      </w:r>
      <w:proofErr w:type="spellStart"/>
      <w:r>
        <w:rPr>
          <w:sz w:val="22"/>
          <w:szCs w:val="22"/>
          <w:lang w:val="en-GB"/>
        </w:rPr>
        <w:t>Izwan</w:t>
      </w:r>
      <w:proofErr w:type="spellEnd"/>
      <w:r>
        <w:rPr>
          <w:sz w:val="22"/>
          <w:szCs w:val="22"/>
          <w:lang w:val="en-GB"/>
        </w:rPr>
        <w:t xml:space="preserve"> Sapri</w:t>
      </w:r>
      <w:r>
        <w:rPr>
          <w:sz w:val="22"/>
          <w:szCs w:val="22"/>
          <w:vertAlign w:val="superscript"/>
          <w:lang w:val="en-GB"/>
        </w:rPr>
        <w:t>1</w:t>
      </w:r>
      <w:r>
        <w:rPr>
          <w:color w:val="000000"/>
          <w:sz w:val="22"/>
          <w:szCs w:val="22"/>
          <w:lang w:val="en-GB"/>
        </w:rPr>
        <w:t xml:space="preserve">, </w:t>
      </w:r>
    </w:p>
    <w:p w14:paraId="7B0698C7" w14:textId="77777777" w:rsidR="00C23C6B" w:rsidRDefault="00000000">
      <w:pPr>
        <w:pStyle w:val="Bibliography1"/>
        <w:spacing w:line="276" w:lineRule="auto"/>
        <w:jc w:val="center"/>
        <w:rPr>
          <w:color w:val="000000"/>
          <w:sz w:val="22"/>
          <w:szCs w:val="22"/>
          <w:lang w:val="en-GB"/>
        </w:rPr>
      </w:pPr>
      <w:r>
        <w:rPr>
          <w:color w:val="000000"/>
          <w:sz w:val="22"/>
          <w:szCs w:val="22"/>
          <w:lang w:val="en-GB"/>
        </w:rPr>
        <w:t xml:space="preserve">Nurul </w:t>
      </w:r>
      <w:proofErr w:type="spellStart"/>
      <w:r>
        <w:rPr>
          <w:color w:val="000000"/>
          <w:sz w:val="22"/>
          <w:szCs w:val="22"/>
          <w:lang w:val="en-GB"/>
        </w:rPr>
        <w:t>Fateha</w:t>
      </w:r>
      <w:proofErr w:type="spellEnd"/>
      <w:r>
        <w:rPr>
          <w:color w:val="000000"/>
          <w:sz w:val="22"/>
          <w:szCs w:val="22"/>
          <w:lang w:val="en-GB"/>
        </w:rPr>
        <w:t xml:space="preserve"> Binti Abdul Rahman</w:t>
      </w:r>
      <w:r>
        <w:rPr>
          <w:color w:val="000000"/>
          <w:sz w:val="22"/>
          <w:szCs w:val="22"/>
          <w:vertAlign w:val="superscript"/>
          <w:lang w:val="en-GB"/>
        </w:rPr>
        <w:t>2</w:t>
      </w:r>
      <w:r>
        <w:rPr>
          <w:color w:val="000000"/>
          <w:sz w:val="22"/>
          <w:szCs w:val="22"/>
          <w:lang w:val="en-GB"/>
        </w:rPr>
        <w:t xml:space="preserve">, </w:t>
      </w:r>
      <w:proofErr w:type="spellStart"/>
      <w:r>
        <w:rPr>
          <w:color w:val="000000"/>
          <w:sz w:val="22"/>
          <w:szCs w:val="22"/>
          <w:lang w:val="en-GB"/>
        </w:rPr>
        <w:t>Anisah</w:t>
      </w:r>
      <w:proofErr w:type="spellEnd"/>
      <w:r>
        <w:rPr>
          <w:color w:val="000000"/>
          <w:sz w:val="22"/>
          <w:szCs w:val="22"/>
          <w:lang w:val="en-GB"/>
        </w:rPr>
        <w:t xml:space="preserve"> Binti Adnan</w:t>
      </w:r>
      <w:r>
        <w:rPr>
          <w:color w:val="000000"/>
          <w:sz w:val="22"/>
          <w:szCs w:val="22"/>
          <w:vertAlign w:val="superscript"/>
          <w:lang w:val="en-GB"/>
        </w:rPr>
        <w:t>2</w:t>
      </w:r>
    </w:p>
    <w:p w14:paraId="605036F3" w14:textId="77777777" w:rsidR="00C23C6B" w:rsidRDefault="00C23C6B">
      <w:pPr>
        <w:rPr>
          <w:sz w:val="22"/>
          <w:szCs w:val="22"/>
          <w:lang w:val="en-GB"/>
        </w:rPr>
      </w:pPr>
    </w:p>
    <w:p w14:paraId="5BD333EF" w14:textId="77777777" w:rsidR="00C23C6B" w:rsidRDefault="00000000">
      <w:pPr>
        <w:spacing w:line="360" w:lineRule="auto"/>
        <w:ind w:left="180"/>
        <w:jc w:val="center"/>
        <w:rPr>
          <w:sz w:val="22"/>
          <w:szCs w:val="22"/>
        </w:rPr>
      </w:pPr>
      <w:r>
        <w:rPr>
          <w:color w:val="000000"/>
          <w:sz w:val="22"/>
          <w:szCs w:val="22"/>
          <w:vertAlign w:val="superscript"/>
          <w:lang w:val="en-GB"/>
        </w:rPr>
        <w:t>1</w:t>
      </w:r>
      <w:r>
        <w:rPr>
          <w:color w:val="000000"/>
          <w:sz w:val="22"/>
          <w:szCs w:val="22"/>
          <w:lang w:val="en-GB"/>
        </w:rPr>
        <w:t xml:space="preserve">Jabatan </w:t>
      </w:r>
      <w:proofErr w:type="spellStart"/>
      <w:r>
        <w:rPr>
          <w:color w:val="000000"/>
          <w:sz w:val="22"/>
          <w:szCs w:val="22"/>
          <w:lang w:val="en-GB"/>
        </w:rPr>
        <w:t>Kecemasan</w:t>
      </w:r>
      <w:proofErr w:type="spellEnd"/>
      <w:r>
        <w:rPr>
          <w:color w:val="000000"/>
          <w:sz w:val="22"/>
          <w:szCs w:val="22"/>
          <w:lang w:val="en-GB"/>
        </w:rPr>
        <w:t xml:space="preserve"> Dan Trauma Hospital </w:t>
      </w:r>
      <w:proofErr w:type="spellStart"/>
      <w:r>
        <w:rPr>
          <w:color w:val="000000"/>
          <w:sz w:val="22"/>
          <w:szCs w:val="22"/>
          <w:lang w:val="en-GB"/>
        </w:rPr>
        <w:t>Alor</w:t>
      </w:r>
      <w:proofErr w:type="spellEnd"/>
      <w:r>
        <w:rPr>
          <w:color w:val="000000"/>
          <w:sz w:val="22"/>
          <w:szCs w:val="22"/>
          <w:lang w:val="en-GB"/>
        </w:rPr>
        <w:t xml:space="preserve"> Gajah</w:t>
      </w:r>
    </w:p>
    <w:p w14:paraId="42A352B1" w14:textId="77777777" w:rsidR="00C23C6B" w:rsidRDefault="00000000">
      <w:pPr>
        <w:spacing w:line="360" w:lineRule="auto"/>
        <w:ind w:left="180"/>
        <w:jc w:val="center"/>
        <w:rPr>
          <w:color w:val="000000"/>
          <w:sz w:val="22"/>
          <w:szCs w:val="22"/>
          <w:lang w:val="en-GB"/>
        </w:rPr>
      </w:pPr>
      <w:r>
        <w:rPr>
          <w:color w:val="000000"/>
          <w:sz w:val="22"/>
          <w:szCs w:val="22"/>
          <w:vertAlign w:val="superscript"/>
          <w:lang w:val="en-GB"/>
        </w:rPr>
        <w:t>2</w:t>
      </w:r>
      <w:r>
        <w:rPr>
          <w:color w:val="000000"/>
          <w:sz w:val="22"/>
          <w:szCs w:val="22"/>
          <w:lang w:val="en-GB"/>
        </w:rPr>
        <w:t xml:space="preserve">Jabatan </w:t>
      </w:r>
      <w:proofErr w:type="spellStart"/>
      <w:r>
        <w:rPr>
          <w:color w:val="000000"/>
          <w:sz w:val="22"/>
          <w:szCs w:val="22"/>
          <w:lang w:val="en-GB"/>
        </w:rPr>
        <w:t>Kecemasan</w:t>
      </w:r>
      <w:proofErr w:type="spellEnd"/>
      <w:r>
        <w:rPr>
          <w:color w:val="000000"/>
          <w:sz w:val="22"/>
          <w:szCs w:val="22"/>
          <w:lang w:val="en-GB"/>
        </w:rPr>
        <w:t xml:space="preserve"> Dan Trauma Hospital Melaka, Melaka, Malaysia </w:t>
      </w:r>
    </w:p>
    <w:p w14:paraId="3093ADC6" w14:textId="77777777" w:rsidR="00C23C6B" w:rsidRDefault="00C23C6B">
      <w:pPr>
        <w:ind w:left="180"/>
        <w:rPr>
          <w:b/>
          <w:bCs/>
          <w:i/>
          <w:iCs/>
          <w:sz w:val="20"/>
          <w:szCs w:val="20"/>
        </w:rPr>
      </w:pPr>
    </w:p>
    <w:tbl>
      <w:tblPr>
        <w:tblW w:w="9635" w:type="dxa"/>
        <w:tblInd w:w="-147" w:type="dxa"/>
        <w:tblLayout w:type="fixed"/>
        <w:tblLook w:val="04A0" w:firstRow="1" w:lastRow="0" w:firstColumn="1" w:lastColumn="0" w:noHBand="0" w:noVBand="1"/>
      </w:tblPr>
      <w:tblGrid>
        <w:gridCol w:w="9635"/>
      </w:tblGrid>
      <w:tr w:rsidR="00C23C6B" w14:paraId="61895A40" w14:textId="77777777">
        <w:trPr>
          <w:trHeight w:hRule="exact" w:val="11176"/>
        </w:trPr>
        <w:tc>
          <w:tcPr>
            <w:tcW w:w="9635" w:type="dxa"/>
            <w:shd w:val="clear" w:color="auto" w:fill="auto"/>
          </w:tcPr>
          <w:p w14:paraId="0408F6C6" w14:textId="77777777" w:rsidR="00C23C6B" w:rsidRDefault="00000000">
            <w:pPr>
              <w:rPr>
                <w:b/>
                <w:bCs/>
                <w:sz w:val="22"/>
                <w:szCs w:val="22"/>
                <w:u w:val="single"/>
              </w:rPr>
            </w:pPr>
            <w:r>
              <w:rPr>
                <w:b/>
                <w:bCs/>
                <w:sz w:val="22"/>
                <w:szCs w:val="22"/>
                <w:u w:val="single"/>
              </w:rPr>
              <w:t>INTRODUCTION</w:t>
            </w:r>
          </w:p>
          <w:p w14:paraId="654E1EDC" w14:textId="77777777" w:rsidR="00C23C6B" w:rsidRDefault="00C23C6B">
            <w:pPr>
              <w:rPr>
                <w:b/>
                <w:bCs/>
                <w:sz w:val="22"/>
                <w:szCs w:val="22"/>
                <w:u w:val="single"/>
              </w:rPr>
            </w:pPr>
          </w:p>
          <w:p w14:paraId="1F7A3B04" w14:textId="77777777" w:rsidR="00C23C6B" w:rsidRDefault="00000000">
            <w:pPr>
              <w:spacing w:line="276" w:lineRule="auto"/>
              <w:jc w:val="both"/>
              <w:rPr>
                <w:sz w:val="22"/>
                <w:szCs w:val="22"/>
              </w:rPr>
            </w:pPr>
            <w:r>
              <w:rPr>
                <w:sz w:val="22"/>
                <w:szCs w:val="22"/>
              </w:rPr>
              <w:t>Shellfish toxin syndrome is related to a poisoning due to consumption of oyster or clams harvested from costal area infected with biotoxin. Neurotoxic shellfish poisoning (NSP) is fatal and widely discussed but diarrheic shellfish poisoning (DSP) is carrying mild symptom but can be life threatening in pediatric population.</w:t>
            </w:r>
          </w:p>
          <w:p w14:paraId="2F36D81A" w14:textId="77777777" w:rsidR="00C23C6B" w:rsidRDefault="00C23C6B">
            <w:pPr>
              <w:spacing w:line="276" w:lineRule="auto"/>
              <w:rPr>
                <w:sz w:val="20"/>
                <w:szCs w:val="20"/>
              </w:rPr>
            </w:pPr>
          </w:p>
          <w:p w14:paraId="3B957F8D" w14:textId="77777777" w:rsidR="00C23C6B" w:rsidRDefault="00000000">
            <w:pPr>
              <w:rPr>
                <w:b/>
                <w:bCs/>
                <w:sz w:val="22"/>
                <w:szCs w:val="22"/>
                <w:u w:val="single"/>
              </w:rPr>
            </w:pPr>
            <w:r>
              <w:rPr>
                <w:b/>
                <w:bCs/>
                <w:sz w:val="22"/>
                <w:szCs w:val="22"/>
                <w:u w:val="single"/>
              </w:rPr>
              <w:t>CASE PRESENTATION</w:t>
            </w:r>
          </w:p>
          <w:p w14:paraId="6521AE07" w14:textId="77777777" w:rsidR="00C23C6B" w:rsidRDefault="00C23C6B">
            <w:pPr>
              <w:rPr>
                <w:b/>
                <w:bCs/>
                <w:sz w:val="22"/>
                <w:szCs w:val="22"/>
                <w:u w:val="single"/>
              </w:rPr>
            </w:pPr>
          </w:p>
          <w:p w14:paraId="3E374917" w14:textId="2A852E7F" w:rsidR="00C23C6B" w:rsidRDefault="00000000">
            <w:pPr>
              <w:spacing w:line="276" w:lineRule="auto"/>
              <w:jc w:val="both"/>
              <w:rPr>
                <w:sz w:val="22"/>
                <w:szCs w:val="22"/>
              </w:rPr>
            </w:pPr>
            <w:r>
              <w:rPr>
                <w:sz w:val="22"/>
                <w:szCs w:val="22"/>
              </w:rPr>
              <w:t xml:space="preserve">A three-year-old girl with no-known medical illness presented to resuscitation zone for multiple episodes of vomiting and loose stool, more than twenty episodes. Prior to that, patient was eating seafood. She developed this symptom two hours after consuming it. Upon presentation to emergency department, patient was lethargic with GCS E4V4M6, good pulse volume, poor skin turgor, sunken eye and crying without tears. Patient was normotensive and tachycardic with normal saturation. Patient subsequently diagnosed as food poisoning, with severe dehydration 10%, possible diarrhetic shellfish poisoning. </w:t>
            </w:r>
            <w:r w:rsidR="00CB224B">
              <w:rPr>
                <w:sz w:val="22"/>
                <w:szCs w:val="22"/>
              </w:rPr>
              <w:t xml:space="preserve">The shellfish sample was sent to the laboratory for the detection of biotoxin level. </w:t>
            </w:r>
            <w:r>
              <w:rPr>
                <w:sz w:val="22"/>
                <w:szCs w:val="22"/>
              </w:rPr>
              <w:t xml:space="preserve">Patient was admitted to PICU and after three days of admission, she was discharged well. </w:t>
            </w:r>
          </w:p>
          <w:p w14:paraId="69FBBAB7" w14:textId="77777777" w:rsidR="00C23C6B" w:rsidRDefault="00C23C6B">
            <w:pPr>
              <w:rPr>
                <w:sz w:val="20"/>
                <w:szCs w:val="20"/>
              </w:rPr>
            </w:pPr>
          </w:p>
          <w:p w14:paraId="2C487A35" w14:textId="77777777" w:rsidR="00C23C6B" w:rsidRDefault="00000000">
            <w:pPr>
              <w:rPr>
                <w:b/>
                <w:bCs/>
                <w:sz w:val="22"/>
                <w:szCs w:val="22"/>
                <w:u w:val="single"/>
              </w:rPr>
            </w:pPr>
            <w:r>
              <w:rPr>
                <w:b/>
                <w:bCs/>
                <w:sz w:val="22"/>
                <w:szCs w:val="22"/>
                <w:u w:val="single"/>
              </w:rPr>
              <w:t>DISCUSSION</w:t>
            </w:r>
          </w:p>
          <w:p w14:paraId="1B669CDD" w14:textId="77777777" w:rsidR="00C23C6B" w:rsidRDefault="00C23C6B">
            <w:pPr>
              <w:rPr>
                <w:b/>
                <w:bCs/>
                <w:sz w:val="22"/>
                <w:szCs w:val="22"/>
                <w:u w:val="single"/>
              </w:rPr>
            </w:pPr>
          </w:p>
          <w:p w14:paraId="479194FE" w14:textId="77777777" w:rsidR="00C23C6B" w:rsidRDefault="00000000">
            <w:pPr>
              <w:spacing w:line="276" w:lineRule="auto"/>
              <w:jc w:val="both"/>
              <w:rPr>
                <w:sz w:val="22"/>
                <w:szCs w:val="22"/>
              </w:rPr>
            </w:pPr>
            <w:r>
              <w:rPr>
                <w:sz w:val="22"/>
                <w:szCs w:val="22"/>
              </w:rPr>
              <w:t xml:space="preserve">Diarrhetic shellfish poisoning (DSP) is one of the shellfish toxin syndromes. Among all the shellfish toxin syndrome, paralytic shellfish poisoning (PSP) is one of the poisonings which carried mild symptom whereas (NSP) produced most fatality. </w:t>
            </w:r>
          </w:p>
          <w:p w14:paraId="0114A25A" w14:textId="06096D1A" w:rsidR="00C23C6B" w:rsidRDefault="00000000">
            <w:pPr>
              <w:spacing w:line="276" w:lineRule="auto"/>
              <w:jc w:val="both"/>
              <w:rPr>
                <w:sz w:val="22"/>
                <w:szCs w:val="22"/>
              </w:rPr>
            </w:pPr>
            <w:r>
              <w:rPr>
                <w:sz w:val="22"/>
                <w:szCs w:val="22"/>
              </w:rPr>
              <w:t xml:space="preserve">DSP produces gastrointestinal symptoms, usually beginning </w:t>
            </w:r>
            <w:r w:rsidR="00CB224B">
              <w:rPr>
                <w:sz w:val="22"/>
                <w:szCs w:val="22"/>
              </w:rPr>
              <w:t>within minutes</w:t>
            </w:r>
            <w:r>
              <w:rPr>
                <w:sz w:val="22"/>
                <w:szCs w:val="22"/>
              </w:rPr>
              <w:t xml:space="preserve"> to a few hours after consumption of toxic shellfish and symptom can last up to 72 hours. Although not fatal, the illness is characterized by diarrhea, nausea, vomiting, and abdominal pain. Treatment is supportive. If left untreated patient can developed severe dehydration. </w:t>
            </w:r>
          </w:p>
          <w:p w14:paraId="4BF6AF77" w14:textId="320F937E" w:rsidR="00C23C6B" w:rsidRDefault="00CB224B" w:rsidP="00CB224B">
            <w:pPr>
              <w:spacing w:line="276" w:lineRule="auto"/>
              <w:jc w:val="both"/>
              <w:rPr>
                <w:b/>
                <w:bCs/>
                <w:sz w:val="22"/>
                <w:szCs w:val="22"/>
                <w:u w:val="single"/>
              </w:rPr>
            </w:pPr>
            <w:r>
              <w:rPr>
                <w:sz w:val="22"/>
                <w:szCs w:val="22"/>
              </w:rPr>
              <w:t xml:space="preserve">Management of the case shouldn’t be stop in the hospital level. It must be followed by the detection of contaminated shellfish in the area. It is crucial in protecting the public from getting infected by the biotoxin. The public health official, fisheries department, need to be informed in the effort to mitigate measure in the affected area from </w:t>
            </w:r>
            <w:r>
              <w:rPr>
                <w:sz w:val="22"/>
                <w:szCs w:val="22"/>
              </w:rPr>
              <w:t>causing outbreak</w:t>
            </w:r>
            <w:r>
              <w:rPr>
                <w:sz w:val="22"/>
                <w:szCs w:val="22"/>
              </w:rPr>
              <w:t>s.</w:t>
            </w:r>
          </w:p>
          <w:p w14:paraId="575256D9" w14:textId="77777777" w:rsidR="00C23C6B" w:rsidRDefault="00C23C6B">
            <w:pPr>
              <w:rPr>
                <w:b/>
                <w:bCs/>
                <w:sz w:val="22"/>
                <w:szCs w:val="22"/>
                <w:u w:val="single"/>
              </w:rPr>
            </w:pPr>
          </w:p>
          <w:p w14:paraId="4E802A1C" w14:textId="77777777" w:rsidR="00C23C6B" w:rsidRDefault="00C23C6B">
            <w:pPr>
              <w:rPr>
                <w:b/>
                <w:bCs/>
                <w:sz w:val="22"/>
                <w:szCs w:val="22"/>
                <w:u w:val="single"/>
              </w:rPr>
            </w:pPr>
          </w:p>
          <w:p w14:paraId="5DAADD52" w14:textId="77777777" w:rsidR="00C23C6B" w:rsidRDefault="00000000">
            <w:pPr>
              <w:rPr>
                <w:b/>
                <w:bCs/>
                <w:sz w:val="22"/>
                <w:szCs w:val="22"/>
                <w:u w:val="single"/>
              </w:rPr>
            </w:pPr>
            <w:r>
              <w:rPr>
                <w:b/>
                <w:bCs/>
                <w:sz w:val="22"/>
                <w:szCs w:val="22"/>
                <w:u w:val="single"/>
              </w:rPr>
              <w:t>CONCLUSION</w:t>
            </w:r>
          </w:p>
          <w:p w14:paraId="55BA169F" w14:textId="77777777" w:rsidR="00CB224B" w:rsidRDefault="00CB224B">
            <w:pPr>
              <w:rPr>
                <w:b/>
                <w:bCs/>
                <w:sz w:val="22"/>
                <w:szCs w:val="22"/>
                <w:u w:val="single"/>
              </w:rPr>
            </w:pPr>
          </w:p>
          <w:p w14:paraId="3B00F56A" w14:textId="28CB6F4C" w:rsidR="00C23C6B" w:rsidRDefault="00CB224B" w:rsidP="00CB224B">
            <w:pPr>
              <w:spacing w:line="276" w:lineRule="auto"/>
              <w:jc w:val="both"/>
              <w:rPr>
                <w:sz w:val="22"/>
                <w:szCs w:val="22"/>
              </w:rPr>
            </w:pPr>
            <w:r>
              <w:rPr>
                <w:sz w:val="22"/>
                <w:szCs w:val="22"/>
              </w:rPr>
              <w:t>Managing shellfish toxin syndrome is a multidisciplinary and interprofessional approach in treatment and prevention of the complication.</w:t>
            </w:r>
          </w:p>
          <w:p w14:paraId="042D883E" w14:textId="77777777" w:rsidR="00CB224B" w:rsidRDefault="00CB224B">
            <w:pPr>
              <w:rPr>
                <w:sz w:val="22"/>
                <w:szCs w:val="22"/>
              </w:rPr>
            </w:pPr>
          </w:p>
          <w:p w14:paraId="12E01FEF" w14:textId="77777777" w:rsidR="00CB224B" w:rsidRDefault="00CB224B">
            <w:pPr>
              <w:rPr>
                <w:sz w:val="22"/>
                <w:szCs w:val="22"/>
              </w:rPr>
            </w:pPr>
          </w:p>
          <w:p w14:paraId="1A569932" w14:textId="0D886ED4" w:rsidR="00CB224B" w:rsidRPr="00CB224B" w:rsidRDefault="00CB224B">
            <w:pPr>
              <w:rPr>
                <w:b/>
                <w:bCs/>
                <w:sz w:val="22"/>
                <w:szCs w:val="22"/>
                <w:u w:val="single"/>
              </w:rPr>
            </w:pPr>
            <w:r w:rsidRPr="00CB224B">
              <w:rPr>
                <w:b/>
                <w:bCs/>
                <w:sz w:val="22"/>
                <w:szCs w:val="22"/>
                <w:u w:val="single"/>
              </w:rPr>
              <w:t>KEYWORD</w:t>
            </w:r>
          </w:p>
          <w:p w14:paraId="22DBB3B1" w14:textId="05DFCF7A" w:rsidR="00C23C6B" w:rsidRDefault="00000000">
            <w:pPr>
              <w:rPr>
                <w:b/>
                <w:bCs/>
                <w:sz w:val="22"/>
                <w:szCs w:val="22"/>
                <w:u w:val="single"/>
              </w:rPr>
            </w:pPr>
            <w:r>
              <w:rPr>
                <w:sz w:val="20"/>
                <w:szCs w:val="20"/>
              </w:rPr>
              <w:t xml:space="preserve">                                                                                                                                                                                                                                                                                                                              </w:t>
            </w:r>
          </w:p>
        </w:tc>
      </w:tr>
    </w:tbl>
    <w:p w14:paraId="7301760D" w14:textId="038FC8E4" w:rsidR="00C23C6B" w:rsidRPr="00373FB3" w:rsidRDefault="00CB224B">
      <w:pPr>
        <w:rPr>
          <w:sz w:val="22"/>
          <w:szCs w:val="22"/>
        </w:rPr>
      </w:pPr>
      <w:r w:rsidRPr="00373FB3">
        <w:rPr>
          <w:sz w:val="22"/>
          <w:szCs w:val="22"/>
        </w:rPr>
        <w:t>Shellfish toxin syndrome, Diarrhetic shellfish poisoning, Pediatrics</w:t>
      </w:r>
    </w:p>
    <w:sectPr w:rsidR="00C23C6B" w:rsidRPr="00373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00"/>
    <w:family w:val="auto"/>
    <w:pitch w:val="default"/>
  </w:font>
  <w:font w:name="DengXian">
    <w:altName w:val="等线"/>
    <w:panose1 w:val="02010600030101010101"/>
    <w:charset w:val="86"/>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83"/>
    <w:rsid w:val="000758A8"/>
    <w:rsid w:val="000B7A39"/>
    <w:rsid w:val="000E5A3F"/>
    <w:rsid w:val="000E7CDF"/>
    <w:rsid w:val="00122850"/>
    <w:rsid w:val="001454B4"/>
    <w:rsid w:val="00175D7B"/>
    <w:rsid w:val="001D28AE"/>
    <w:rsid w:val="001D29A4"/>
    <w:rsid w:val="00221C74"/>
    <w:rsid w:val="002609A5"/>
    <w:rsid w:val="0026493A"/>
    <w:rsid w:val="00270646"/>
    <w:rsid w:val="0028435E"/>
    <w:rsid w:val="002B0886"/>
    <w:rsid w:val="002B5817"/>
    <w:rsid w:val="002F300D"/>
    <w:rsid w:val="003403D4"/>
    <w:rsid w:val="00351687"/>
    <w:rsid w:val="00373FB3"/>
    <w:rsid w:val="00380541"/>
    <w:rsid w:val="00386881"/>
    <w:rsid w:val="003A75E8"/>
    <w:rsid w:val="00451C02"/>
    <w:rsid w:val="00475551"/>
    <w:rsid w:val="004A4A0F"/>
    <w:rsid w:val="00504905"/>
    <w:rsid w:val="00544249"/>
    <w:rsid w:val="005970B3"/>
    <w:rsid w:val="005B4183"/>
    <w:rsid w:val="005D12CE"/>
    <w:rsid w:val="0063585E"/>
    <w:rsid w:val="00697034"/>
    <w:rsid w:val="006D3579"/>
    <w:rsid w:val="00777F2E"/>
    <w:rsid w:val="007812E1"/>
    <w:rsid w:val="007B7543"/>
    <w:rsid w:val="007D672F"/>
    <w:rsid w:val="0081311F"/>
    <w:rsid w:val="00840971"/>
    <w:rsid w:val="00880AB7"/>
    <w:rsid w:val="008A62E2"/>
    <w:rsid w:val="008C7395"/>
    <w:rsid w:val="008F081D"/>
    <w:rsid w:val="008F2722"/>
    <w:rsid w:val="00905DF4"/>
    <w:rsid w:val="00921C85"/>
    <w:rsid w:val="009279F7"/>
    <w:rsid w:val="009A5CCB"/>
    <w:rsid w:val="009C60B0"/>
    <w:rsid w:val="009D3C1D"/>
    <w:rsid w:val="009D3FD1"/>
    <w:rsid w:val="009D3FE1"/>
    <w:rsid w:val="009F7B34"/>
    <w:rsid w:val="00A104E8"/>
    <w:rsid w:val="00A51D65"/>
    <w:rsid w:val="00AA0957"/>
    <w:rsid w:val="00B54C26"/>
    <w:rsid w:val="00B76626"/>
    <w:rsid w:val="00BD0194"/>
    <w:rsid w:val="00BD2884"/>
    <w:rsid w:val="00BE542D"/>
    <w:rsid w:val="00BF478F"/>
    <w:rsid w:val="00BF6104"/>
    <w:rsid w:val="00C06C7F"/>
    <w:rsid w:val="00C23C6B"/>
    <w:rsid w:val="00C30591"/>
    <w:rsid w:val="00C53899"/>
    <w:rsid w:val="00C75E74"/>
    <w:rsid w:val="00CB224B"/>
    <w:rsid w:val="00CB2A55"/>
    <w:rsid w:val="00CC185F"/>
    <w:rsid w:val="00CC2333"/>
    <w:rsid w:val="00D6002D"/>
    <w:rsid w:val="00D64F76"/>
    <w:rsid w:val="00D726F3"/>
    <w:rsid w:val="00D94725"/>
    <w:rsid w:val="00D96F79"/>
    <w:rsid w:val="00DB3656"/>
    <w:rsid w:val="00DE1D07"/>
    <w:rsid w:val="00E37744"/>
    <w:rsid w:val="00E50F60"/>
    <w:rsid w:val="00E5658D"/>
    <w:rsid w:val="00E86FAB"/>
    <w:rsid w:val="00EA1B86"/>
    <w:rsid w:val="00EA6A39"/>
    <w:rsid w:val="00EA6F23"/>
    <w:rsid w:val="00EB124E"/>
    <w:rsid w:val="00EC3C1C"/>
    <w:rsid w:val="00EC40F5"/>
    <w:rsid w:val="00FA0D17"/>
    <w:rsid w:val="00FE3965"/>
    <w:rsid w:val="372C06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5BEB97"/>
  <w15:docId w15:val="{651CB51B-FCFB-EC4D-BE71-AD8D207A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pPr>
      <w:keepNext/>
      <w:keepLines/>
      <w:suppressAutoHyphens w:val="0"/>
      <w:spacing w:before="360" w:after="80"/>
      <w:outlineLvl w:val="0"/>
    </w:pPr>
    <w:rPr>
      <w:rFonts w:asciiTheme="majorHAnsi" w:eastAsiaTheme="majorEastAsia" w:hAnsiTheme="majorHAnsi" w:cstheme="majorBidi"/>
      <w:color w:val="0F4761" w:themeColor="accent1" w:themeShade="BF"/>
      <w:kern w:val="2"/>
      <w:sz w:val="40"/>
      <w:szCs w:val="40"/>
      <w:lang w:val="en-MY" w:eastAsia="en-US"/>
      <w14:ligatures w14:val="standardContextual"/>
    </w:rPr>
  </w:style>
  <w:style w:type="paragraph" w:styleId="Heading2">
    <w:name w:val="heading 2"/>
    <w:basedOn w:val="Normal"/>
    <w:next w:val="Normal"/>
    <w:link w:val="Heading2Char"/>
    <w:uiPriority w:val="9"/>
    <w:semiHidden/>
    <w:unhideWhenUsed/>
    <w:qFormat/>
    <w:pPr>
      <w:keepNext/>
      <w:keepLines/>
      <w:suppressAutoHyphens w:val="0"/>
      <w:spacing w:before="160" w:after="80"/>
      <w:outlineLvl w:val="1"/>
    </w:pPr>
    <w:rPr>
      <w:rFonts w:asciiTheme="majorHAnsi" w:eastAsiaTheme="majorEastAsia" w:hAnsiTheme="majorHAnsi" w:cstheme="majorBidi"/>
      <w:color w:val="0F4761" w:themeColor="accent1" w:themeShade="BF"/>
      <w:kern w:val="2"/>
      <w:sz w:val="32"/>
      <w:szCs w:val="32"/>
      <w:lang w:val="en-MY" w:eastAsia="en-US"/>
      <w14:ligatures w14:val="standardContextual"/>
    </w:rPr>
  </w:style>
  <w:style w:type="paragraph" w:styleId="Heading3">
    <w:name w:val="heading 3"/>
    <w:basedOn w:val="Normal"/>
    <w:next w:val="Normal"/>
    <w:link w:val="Heading3Char"/>
    <w:uiPriority w:val="9"/>
    <w:semiHidden/>
    <w:unhideWhenUsed/>
    <w:qFormat/>
    <w:pPr>
      <w:keepNext/>
      <w:keepLines/>
      <w:suppressAutoHyphens w:val="0"/>
      <w:spacing w:before="160" w:after="80"/>
      <w:outlineLvl w:val="2"/>
    </w:pPr>
    <w:rPr>
      <w:rFonts w:asciiTheme="minorHAnsi" w:eastAsiaTheme="majorEastAsia" w:hAnsiTheme="minorHAnsi" w:cstheme="majorBidi"/>
      <w:color w:val="0F4761" w:themeColor="accent1" w:themeShade="BF"/>
      <w:kern w:val="2"/>
      <w:sz w:val="28"/>
      <w:szCs w:val="28"/>
      <w:lang w:val="en-MY" w:eastAsia="en-US"/>
      <w14:ligatures w14:val="standardContextual"/>
    </w:rPr>
  </w:style>
  <w:style w:type="paragraph" w:styleId="Heading4">
    <w:name w:val="heading 4"/>
    <w:basedOn w:val="Normal"/>
    <w:next w:val="Normal"/>
    <w:link w:val="Heading4Char"/>
    <w:uiPriority w:val="9"/>
    <w:semiHidden/>
    <w:unhideWhenUsed/>
    <w:qFormat/>
    <w:pPr>
      <w:keepNext/>
      <w:keepLines/>
      <w:suppressAutoHyphens w:val="0"/>
      <w:spacing w:before="80" w:after="40"/>
      <w:outlineLvl w:val="3"/>
    </w:pPr>
    <w:rPr>
      <w:rFonts w:asciiTheme="minorHAnsi" w:eastAsiaTheme="majorEastAsia" w:hAnsiTheme="minorHAnsi" w:cstheme="majorBidi"/>
      <w:i/>
      <w:iCs/>
      <w:color w:val="0F4761" w:themeColor="accent1" w:themeShade="BF"/>
      <w:kern w:val="2"/>
      <w:lang w:val="en-MY" w:eastAsia="en-US"/>
      <w14:ligatures w14:val="standardContextual"/>
    </w:rPr>
  </w:style>
  <w:style w:type="paragraph" w:styleId="Heading5">
    <w:name w:val="heading 5"/>
    <w:basedOn w:val="Normal"/>
    <w:next w:val="Normal"/>
    <w:link w:val="Heading5Char"/>
    <w:uiPriority w:val="9"/>
    <w:semiHidden/>
    <w:unhideWhenUsed/>
    <w:qFormat/>
    <w:pPr>
      <w:keepNext/>
      <w:keepLines/>
      <w:suppressAutoHyphens w:val="0"/>
      <w:spacing w:before="80" w:after="40"/>
      <w:outlineLvl w:val="4"/>
    </w:pPr>
    <w:rPr>
      <w:rFonts w:asciiTheme="minorHAnsi" w:eastAsiaTheme="majorEastAsia" w:hAnsiTheme="minorHAnsi" w:cstheme="majorBidi"/>
      <w:color w:val="0F4761" w:themeColor="accent1" w:themeShade="BF"/>
      <w:kern w:val="2"/>
      <w:lang w:val="en-MY" w:eastAsia="en-US"/>
      <w14:ligatures w14:val="standardContextual"/>
    </w:rPr>
  </w:style>
  <w:style w:type="paragraph" w:styleId="Heading6">
    <w:name w:val="heading 6"/>
    <w:basedOn w:val="Normal"/>
    <w:next w:val="Normal"/>
    <w:link w:val="Heading6Char"/>
    <w:uiPriority w:val="9"/>
    <w:semiHidden/>
    <w:unhideWhenUsed/>
    <w:qFormat/>
    <w:pPr>
      <w:keepNext/>
      <w:keepLines/>
      <w:suppressAutoHyphens w:val="0"/>
      <w:spacing w:before="40"/>
      <w:outlineLvl w:val="5"/>
    </w:pPr>
    <w:rPr>
      <w:rFonts w:asciiTheme="minorHAnsi" w:eastAsiaTheme="majorEastAsia" w:hAnsiTheme="minorHAnsi" w:cstheme="majorBidi"/>
      <w:i/>
      <w:iCs/>
      <w:color w:val="595959" w:themeColor="text1" w:themeTint="A6"/>
      <w:kern w:val="2"/>
      <w:lang w:val="en-MY" w:eastAsia="en-US"/>
      <w14:ligatures w14:val="standardContextual"/>
    </w:rPr>
  </w:style>
  <w:style w:type="paragraph" w:styleId="Heading7">
    <w:name w:val="heading 7"/>
    <w:basedOn w:val="Normal"/>
    <w:next w:val="Normal"/>
    <w:link w:val="Heading7Char"/>
    <w:uiPriority w:val="9"/>
    <w:semiHidden/>
    <w:unhideWhenUsed/>
    <w:qFormat/>
    <w:pPr>
      <w:keepNext/>
      <w:keepLines/>
      <w:suppressAutoHyphens w:val="0"/>
      <w:spacing w:before="40"/>
      <w:outlineLvl w:val="6"/>
    </w:pPr>
    <w:rPr>
      <w:rFonts w:asciiTheme="minorHAnsi" w:eastAsiaTheme="majorEastAsia" w:hAnsiTheme="minorHAnsi" w:cstheme="majorBidi"/>
      <w:color w:val="595959" w:themeColor="text1" w:themeTint="A6"/>
      <w:kern w:val="2"/>
      <w:lang w:val="en-MY" w:eastAsia="en-US"/>
      <w14:ligatures w14:val="standardContextual"/>
    </w:rPr>
  </w:style>
  <w:style w:type="paragraph" w:styleId="Heading8">
    <w:name w:val="heading 8"/>
    <w:basedOn w:val="Normal"/>
    <w:next w:val="Normal"/>
    <w:link w:val="Heading8Char"/>
    <w:uiPriority w:val="9"/>
    <w:semiHidden/>
    <w:unhideWhenUsed/>
    <w:qFormat/>
    <w:pPr>
      <w:keepNext/>
      <w:keepLines/>
      <w:suppressAutoHyphens w:val="0"/>
      <w:outlineLvl w:val="7"/>
    </w:pPr>
    <w:rPr>
      <w:rFonts w:asciiTheme="minorHAnsi" w:eastAsiaTheme="majorEastAsia" w:hAnsiTheme="minorHAnsi" w:cstheme="majorBidi"/>
      <w:i/>
      <w:iCs/>
      <w:color w:val="262626" w:themeColor="text1" w:themeTint="D9"/>
      <w:kern w:val="2"/>
      <w:lang w:val="en-MY" w:eastAsia="en-US"/>
      <w14:ligatures w14:val="standardContextual"/>
    </w:rPr>
  </w:style>
  <w:style w:type="paragraph" w:styleId="Heading9">
    <w:name w:val="heading 9"/>
    <w:basedOn w:val="Normal"/>
    <w:next w:val="Normal"/>
    <w:link w:val="Heading9Char"/>
    <w:uiPriority w:val="9"/>
    <w:semiHidden/>
    <w:unhideWhenUsed/>
    <w:qFormat/>
    <w:pPr>
      <w:keepNext/>
      <w:keepLines/>
      <w:suppressAutoHyphens w:val="0"/>
      <w:outlineLvl w:val="8"/>
    </w:pPr>
    <w:rPr>
      <w:rFonts w:asciiTheme="minorHAnsi" w:eastAsiaTheme="majorEastAsia" w:hAnsiTheme="minorHAnsi" w:cstheme="majorBidi"/>
      <w:color w:val="262626" w:themeColor="text1" w:themeTint="D9"/>
      <w:kern w:val="2"/>
      <w:lang w:val="en-MY"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uppressAutoHyphens w:val="0"/>
    </w:pPr>
    <w:rPr>
      <w:rFonts w:asciiTheme="minorHAnsi" w:eastAsiaTheme="minorHAnsi" w:hAnsiTheme="minorHAnsi" w:cstheme="minorBidi"/>
      <w:kern w:val="2"/>
      <w:sz w:val="20"/>
      <w:szCs w:val="20"/>
      <w:lang w:val="en-MY" w:eastAsia="en-US"/>
      <w14:ligatures w14:val="standardContextual"/>
    </w:rPr>
  </w:style>
  <w:style w:type="paragraph" w:styleId="Subtitle">
    <w:name w:val="Subtitle"/>
    <w:basedOn w:val="Normal"/>
    <w:next w:val="Normal"/>
    <w:link w:val="SubtitleChar"/>
    <w:uiPriority w:val="11"/>
    <w:qFormat/>
    <w:pPr>
      <w:suppressAutoHyphens w:val="0"/>
      <w:spacing w:after="160"/>
    </w:pPr>
    <w:rPr>
      <w:rFonts w:asciiTheme="minorHAnsi" w:eastAsiaTheme="majorEastAsia" w:hAnsiTheme="minorHAnsi" w:cstheme="majorBidi"/>
      <w:color w:val="595959" w:themeColor="text1" w:themeTint="A6"/>
      <w:spacing w:val="15"/>
      <w:kern w:val="2"/>
      <w:sz w:val="28"/>
      <w:szCs w:val="28"/>
      <w:lang w:val="en-MY" w:eastAsia="en-US"/>
      <w14:ligatures w14:val="standardContextual"/>
    </w:rPr>
  </w:style>
  <w:style w:type="paragraph" w:styleId="Title">
    <w:name w:val="Title"/>
    <w:basedOn w:val="Normal"/>
    <w:next w:val="Normal"/>
    <w:link w:val="TitleChar"/>
    <w:uiPriority w:val="10"/>
    <w:qFormat/>
    <w:pPr>
      <w:suppressAutoHyphens w:val="0"/>
      <w:spacing w:after="80"/>
      <w:contextualSpacing/>
    </w:pPr>
    <w:rPr>
      <w:rFonts w:asciiTheme="majorHAnsi" w:eastAsiaTheme="majorEastAsia" w:hAnsiTheme="majorHAnsi" w:cstheme="majorBidi"/>
      <w:spacing w:val="-10"/>
      <w:kern w:val="28"/>
      <w:sz w:val="56"/>
      <w:szCs w:val="56"/>
      <w:lang w:val="en-MY" w:eastAsia="en-US"/>
      <w14:ligatures w14:val="standardContextual"/>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uppressAutoHyphens w:val="0"/>
      <w:spacing w:before="160" w:after="160"/>
      <w:jc w:val="center"/>
    </w:pPr>
    <w:rPr>
      <w:rFonts w:asciiTheme="minorHAnsi" w:eastAsiaTheme="minorHAnsi" w:hAnsiTheme="minorHAnsi" w:cstheme="minorBidi"/>
      <w:i/>
      <w:iCs/>
      <w:color w:val="404040" w:themeColor="text1" w:themeTint="BF"/>
      <w:kern w:val="2"/>
      <w:lang w:val="en-MY" w:eastAsia="en-US"/>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uppressAutoHyphens w:val="0"/>
      <w:ind w:left="720"/>
      <w:contextualSpacing/>
    </w:pPr>
    <w:rPr>
      <w:rFonts w:asciiTheme="minorHAnsi" w:eastAsiaTheme="minorHAnsi" w:hAnsiTheme="minorHAnsi" w:cstheme="minorBidi"/>
      <w:kern w:val="2"/>
      <w:lang w:val="en-MY" w:eastAsia="en-US"/>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kern w:val="2"/>
      <w:lang w:val="en-MY" w:eastAsia="en-US"/>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Bibliography1">
    <w:name w:val="Bibliography1"/>
    <w:basedOn w:val="Normal"/>
    <w:next w:val="Normal"/>
    <w:uiPriority w:val="37"/>
    <w:semiHidden/>
    <w:unhideWhenUsed/>
  </w:style>
  <w:style w:type="character" w:customStyle="1" w:styleId="EndnoteTextChar">
    <w:name w:val="Endnote Text Char"/>
    <w:basedOn w:val="DefaultParagraphFont"/>
    <w:link w:val="End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2493</Characters>
  <Application>Microsoft Office Word</Application>
  <DocSecurity>0</DocSecurity>
  <Lines>55</Lines>
  <Paragraphs>22</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izwan</dc:creator>
  <cp:lastModifiedBy>ahmad izwan</cp:lastModifiedBy>
  <cp:revision>2</cp:revision>
  <dcterms:created xsi:type="dcterms:W3CDTF">2024-06-15T09:26:00Z</dcterms:created>
  <dcterms:modified xsi:type="dcterms:W3CDTF">2024-06-15T09:26:00Z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B34166A6F63949ACA7EA1371ED87F77E_12</vt:lpwstr>
  </property>
</Properties>
</file>