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6AFDC" w14:textId="57449C5F" w:rsidR="00454070" w:rsidRDefault="005D7FBB">
      <w:pPr>
        <w:ind w:left="180"/>
        <w:rPr>
          <w:b/>
          <w:bCs/>
          <w:sz w:val="20"/>
          <w:szCs w:val="20"/>
        </w:rPr>
      </w:pPr>
      <w:r>
        <w:rPr>
          <w:b/>
          <w:bCs/>
          <w:sz w:val="20"/>
          <w:szCs w:val="20"/>
        </w:rPr>
        <w:t xml:space="preserve">IS </w:t>
      </w:r>
      <w:r w:rsidR="00FD4B92">
        <w:rPr>
          <w:b/>
          <w:bCs/>
          <w:sz w:val="20"/>
          <w:szCs w:val="20"/>
        </w:rPr>
        <w:t>WELLS’ SCORE ALWAYS WELL?</w:t>
      </w:r>
    </w:p>
    <w:p w14:paraId="2B556C41" w14:textId="77777777" w:rsidR="003537F5" w:rsidRPr="003537F5" w:rsidRDefault="003537F5">
      <w:pPr>
        <w:ind w:left="180"/>
        <w:rPr>
          <w:lang w:val="en-MY"/>
        </w:rPr>
      </w:pPr>
    </w:p>
    <w:p w14:paraId="0726D195" w14:textId="31577DE5" w:rsidR="000617E4" w:rsidRPr="001250D5" w:rsidRDefault="000617E4" w:rsidP="000617E4">
      <w:pPr>
        <w:ind w:left="180"/>
        <w:rPr>
          <w:sz w:val="20"/>
          <w:szCs w:val="20"/>
        </w:rPr>
      </w:pPr>
      <w:r>
        <w:rPr>
          <w:sz w:val="20"/>
          <w:szCs w:val="20"/>
          <w:u w:val="single"/>
        </w:rPr>
        <w:t>JEN SIANG NG</w:t>
      </w:r>
      <w:r>
        <w:rPr>
          <w:sz w:val="20"/>
          <w:szCs w:val="20"/>
          <w:u w:val="single"/>
          <w:vertAlign w:val="superscript"/>
        </w:rPr>
        <w:t>1</w:t>
      </w:r>
      <w:r>
        <w:rPr>
          <w:sz w:val="20"/>
          <w:szCs w:val="20"/>
        </w:rPr>
        <w:t xml:space="preserve">; </w:t>
      </w:r>
      <w:r w:rsidR="001250D5">
        <w:rPr>
          <w:sz w:val="20"/>
          <w:szCs w:val="20"/>
        </w:rPr>
        <w:t>TZE SIANG OOI</w:t>
      </w:r>
      <w:r w:rsidR="001250D5">
        <w:rPr>
          <w:sz w:val="20"/>
          <w:szCs w:val="20"/>
          <w:vertAlign w:val="superscript"/>
        </w:rPr>
        <w:t>1</w:t>
      </w:r>
      <w:r w:rsidR="001250D5">
        <w:rPr>
          <w:sz w:val="20"/>
          <w:szCs w:val="20"/>
        </w:rPr>
        <w:t xml:space="preserve">; </w:t>
      </w:r>
      <w:r w:rsidR="00FD4B92">
        <w:rPr>
          <w:sz w:val="20"/>
          <w:szCs w:val="20"/>
        </w:rPr>
        <w:t>IZZAH NADZRINA AIMIENUR SUHAIMI</w:t>
      </w:r>
      <w:r w:rsidR="00FD4B92">
        <w:rPr>
          <w:sz w:val="20"/>
          <w:szCs w:val="20"/>
          <w:vertAlign w:val="superscript"/>
        </w:rPr>
        <w:t>1</w:t>
      </w:r>
      <w:r w:rsidR="00FD4B92">
        <w:rPr>
          <w:sz w:val="20"/>
          <w:szCs w:val="20"/>
        </w:rPr>
        <w:t>; SOO LING GOH</w:t>
      </w:r>
      <w:r w:rsidR="00FD4B92">
        <w:rPr>
          <w:sz w:val="20"/>
          <w:szCs w:val="20"/>
          <w:vertAlign w:val="superscript"/>
        </w:rPr>
        <w:t>1</w:t>
      </w:r>
      <w:r w:rsidR="00FD4B92">
        <w:rPr>
          <w:sz w:val="20"/>
          <w:szCs w:val="20"/>
        </w:rPr>
        <w:t xml:space="preserve">; </w:t>
      </w:r>
      <w:r w:rsidR="001250D5">
        <w:rPr>
          <w:sz w:val="20"/>
          <w:szCs w:val="20"/>
        </w:rPr>
        <w:t>CHUI KING WONG</w:t>
      </w:r>
      <w:r w:rsidR="001250D5">
        <w:rPr>
          <w:sz w:val="20"/>
          <w:szCs w:val="20"/>
          <w:vertAlign w:val="superscript"/>
        </w:rPr>
        <w:t>1</w:t>
      </w:r>
    </w:p>
    <w:p w14:paraId="7742FE0B" w14:textId="77777777" w:rsidR="000617E4" w:rsidRDefault="000617E4" w:rsidP="000617E4">
      <w:pPr>
        <w:ind w:left="180"/>
        <w:rPr>
          <w:sz w:val="20"/>
          <w:szCs w:val="20"/>
          <w:lang w:val="es-ES"/>
        </w:rPr>
      </w:pPr>
    </w:p>
    <w:p w14:paraId="6018DFAF" w14:textId="4DF88182" w:rsidR="000617E4" w:rsidRDefault="000617E4" w:rsidP="000617E4">
      <w:pPr>
        <w:ind w:left="180"/>
        <w:rPr>
          <w:i/>
          <w:iCs/>
          <w:sz w:val="20"/>
          <w:szCs w:val="20"/>
        </w:rPr>
      </w:pPr>
      <w:r>
        <w:rPr>
          <w:sz w:val="20"/>
          <w:szCs w:val="20"/>
          <w:vertAlign w:val="superscript"/>
        </w:rPr>
        <w:t xml:space="preserve">1 </w:t>
      </w:r>
      <w:r>
        <w:rPr>
          <w:i/>
          <w:iCs/>
          <w:sz w:val="20"/>
          <w:szCs w:val="20"/>
        </w:rPr>
        <w:t xml:space="preserve">HOSPITAL </w:t>
      </w:r>
      <w:r w:rsidR="001250D5">
        <w:rPr>
          <w:i/>
          <w:iCs/>
          <w:sz w:val="20"/>
          <w:szCs w:val="20"/>
        </w:rPr>
        <w:t>KUALA LUMPUR, KUALA LUMPUR</w:t>
      </w:r>
      <w:r>
        <w:rPr>
          <w:i/>
          <w:iCs/>
          <w:sz w:val="20"/>
          <w:szCs w:val="20"/>
        </w:rPr>
        <w:t>, MALAYSIA</w:t>
      </w:r>
    </w:p>
    <w:p w14:paraId="78E5942C" w14:textId="77777777" w:rsidR="00454070" w:rsidRDefault="00454070">
      <w:pPr>
        <w:jc w:val="center"/>
        <w:rPr>
          <w:i/>
          <w:iCs/>
          <w:sz w:val="20"/>
        </w:rPr>
      </w:pPr>
    </w:p>
    <w:tbl>
      <w:tblPr>
        <w:tblW w:w="8677" w:type="dxa"/>
        <w:tblInd w:w="283" w:type="dxa"/>
        <w:tblLayout w:type="fixed"/>
        <w:tblLook w:val="0000" w:firstRow="0" w:lastRow="0" w:firstColumn="0" w:lastColumn="0" w:noHBand="0" w:noVBand="0"/>
      </w:tblPr>
      <w:tblGrid>
        <w:gridCol w:w="8677"/>
      </w:tblGrid>
      <w:tr w:rsidR="00454070" w14:paraId="23BB2743" w14:textId="77777777" w:rsidTr="00D754CF">
        <w:trPr>
          <w:trHeight w:hRule="exact" w:val="8319"/>
        </w:trPr>
        <w:tc>
          <w:tcPr>
            <w:tcW w:w="8677" w:type="dxa"/>
            <w:tcBorders>
              <w:top w:val="single" w:sz="4" w:space="0" w:color="000000"/>
              <w:left w:val="single" w:sz="4" w:space="0" w:color="000000"/>
              <w:bottom w:val="single" w:sz="4" w:space="0" w:color="000000"/>
              <w:right w:val="single" w:sz="4" w:space="0" w:color="000000"/>
            </w:tcBorders>
            <w:shd w:val="clear" w:color="auto" w:fill="auto"/>
          </w:tcPr>
          <w:p w14:paraId="0CC9D502" w14:textId="7A6DE246" w:rsidR="005D7FBB" w:rsidRPr="00FD4B92" w:rsidRDefault="007A4B3E" w:rsidP="007A4B3E">
            <w:pPr>
              <w:rPr>
                <w:sz w:val="20"/>
                <w:szCs w:val="20"/>
              </w:rPr>
            </w:pPr>
            <w:r>
              <w:rPr>
                <w:sz w:val="20"/>
                <w:szCs w:val="20"/>
                <w:lang w:val="en-MY"/>
              </w:rPr>
              <w:t xml:space="preserve">Introduction: </w:t>
            </w:r>
            <w:r w:rsidR="00FD4B92" w:rsidRPr="00FD4B92">
              <w:rPr>
                <w:sz w:val="20"/>
                <w:szCs w:val="20"/>
                <w:lang w:val="en-MY"/>
              </w:rPr>
              <w:t>Pulmonary embolism is not uncommon, with its probability determined by clinical gestalt or risk stratification tools such as Wells’ score.</w:t>
            </w:r>
          </w:p>
          <w:p w14:paraId="5627A6CF" w14:textId="77777777" w:rsidR="005D7FBB" w:rsidRDefault="005D7FBB" w:rsidP="007A4B3E">
            <w:pPr>
              <w:rPr>
                <w:sz w:val="20"/>
                <w:szCs w:val="20"/>
                <w:lang w:val="en-MY"/>
              </w:rPr>
            </w:pPr>
          </w:p>
          <w:p w14:paraId="30A92ACA" w14:textId="6BD7FACA" w:rsidR="007A4B3E" w:rsidRPr="00FD4B92" w:rsidRDefault="007A4B3E" w:rsidP="00FD4B92">
            <w:pPr>
              <w:rPr>
                <w:sz w:val="20"/>
                <w:szCs w:val="20"/>
              </w:rPr>
            </w:pPr>
            <w:r>
              <w:rPr>
                <w:sz w:val="20"/>
                <w:szCs w:val="20"/>
                <w:lang w:val="en-MY"/>
              </w:rPr>
              <w:t xml:space="preserve">Case description: </w:t>
            </w:r>
            <w:r w:rsidR="00FD4B92" w:rsidRPr="00FD4B92">
              <w:rPr>
                <w:sz w:val="20"/>
                <w:szCs w:val="20"/>
                <w:lang w:val="en-MY"/>
              </w:rPr>
              <w:t xml:space="preserve">A 58-year-old man, </w:t>
            </w:r>
            <w:r w:rsidR="00944C33">
              <w:rPr>
                <w:sz w:val="20"/>
                <w:szCs w:val="20"/>
                <w:lang w:val="en-MY"/>
              </w:rPr>
              <w:t xml:space="preserve">underlying </w:t>
            </w:r>
            <w:r w:rsidR="00743521">
              <w:rPr>
                <w:sz w:val="20"/>
                <w:szCs w:val="20"/>
                <w:lang w:val="en-MY"/>
              </w:rPr>
              <w:t xml:space="preserve">diabetic nephropathy with </w:t>
            </w:r>
            <w:r w:rsidR="00FD4B92" w:rsidRPr="00FD4B92">
              <w:rPr>
                <w:sz w:val="20"/>
                <w:szCs w:val="20"/>
                <w:lang w:val="en-MY"/>
              </w:rPr>
              <w:t xml:space="preserve">nephrotic syndrome, presented with </w:t>
            </w:r>
            <w:r w:rsidR="00743521">
              <w:rPr>
                <w:sz w:val="20"/>
                <w:szCs w:val="20"/>
                <w:lang w:val="en-MY"/>
              </w:rPr>
              <w:t>breathlessness</w:t>
            </w:r>
            <w:r w:rsidR="00FD4B92" w:rsidRPr="00FD4B92">
              <w:rPr>
                <w:sz w:val="20"/>
                <w:szCs w:val="20"/>
                <w:lang w:val="en-MY"/>
              </w:rPr>
              <w:t xml:space="preserve"> and fever. </w:t>
            </w:r>
            <w:r w:rsidR="00944C33">
              <w:rPr>
                <w:sz w:val="20"/>
                <w:szCs w:val="20"/>
                <w:lang w:val="en-MY"/>
              </w:rPr>
              <w:t>H</w:t>
            </w:r>
            <w:r w:rsidR="00FD4B92" w:rsidRPr="00FD4B92">
              <w:rPr>
                <w:sz w:val="20"/>
                <w:szCs w:val="20"/>
                <w:lang w:val="en-MY"/>
              </w:rPr>
              <w:t xml:space="preserve">e was </w:t>
            </w:r>
            <w:proofErr w:type="spellStart"/>
            <w:r w:rsidR="00FD4B92" w:rsidRPr="00FD4B92">
              <w:rPr>
                <w:sz w:val="20"/>
                <w:szCs w:val="20"/>
                <w:lang w:val="en-MY"/>
              </w:rPr>
              <w:t>tachypneic</w:t>
            </w:r>
            <w:proofErr w:type="spellEnd"/>
            <w:r w:rsidR="00FD4B92" w:rsidRPr="00FD4B92">
              <w:rPr>
                <w:sz w:val="20"/>
                <w:szCs w:val="20"/>
                <w:lang w:val="en-MY"/>
              </w:rPr>
              <w:t>, tachycardic, hypoxi</w:t>
            </w:r>
            <w:r w:rsidR="00944C33">
              <w:rPr>
                <w:sz w:val="20"/>
                <w:szCs w:val="20"/>
                <w:lang w:val="en-MY"/>
              </w:rPr>
              <w:t>c</w:t>
            </w:r>
            <w:r w:rsidR="00FD4B92" w:rsidRPr="00FD4B92">
              <w:rPr>
                <w:sz w:val="20"/>
                <w:szCs w:val="20"/>
                <w:lang w:val="en-MY"/>
              </w:rPr>
              <w:t xml:space="preserve">, and febrile with lung crepitations. Electrocardiography (ECG) showed sinus tachycardia with T inversion over lead V1-V3. Bedside echocardiography revealed dilated right ventricle with </w:t>
            </w:r>
            <w:r w:rsidR="00944C33">
              <w:rPr>
                <w:sz w:val="20"/>
                <w:szCs w:val="20"/>
                <w:lang w:val="en-MY"/>
              </w:rPr>
              <w:t>septal flattening</w:t>
            </w:r>
            <w:r w:rsidR="00FD4B92" w:rsidRPr="00FD4B92">
              <w:rPr>
                <w:sz w:val="20"/>
                <w:szCs w:val="20"/>
                <w:lang w:val="en-MY"/>
              </w:rPr>
              <w:t>. Arterial blood gas showed hypoxia, metabolic acidosis with wide A-a gradient. Calculated Wells’ score fell into ‘PE unlikely’ category. Nevertheless, urgent computed tomography pulmonary angiograph</w:t>
            </w:r>
            <w:r w:rsidR="00BB697C">
              <w:rPr>
                <w:sz w:val="20"/>
                <w:szCs w:val="20"/>
                <w:lang w:val="en-MY"/>
              </w:rPr>
              <w:t>y</w:t>
            </w:r>
            <w:r w:rsidR="00FD4B92" w:rsidRPr="00FD4B92">
              <w:rPr>
                <w:sz w:val="20"/>
                <w:szCs w:val="20"/>
                <w:lang w:val="en-MY"/>
              </w:rPr>
              <w:t xml:space="preserve"> was done in view of high probability according to clinical gestalt and multiple episodes of transient hypotension, which reported bilateral main pulmonary artery thromboembolism and pneumonia. He was diagnosed with unprovoked intermediate-high-risk pulmonary embolism (elevated troponin), </w:t>
            </w:r>
            <w:r w:rsidR="00944C33">
              <w:rPr>
                <w:sz w:val="20"/>
                <w:szCs w:val="20"/>
                <w:lang w:val="en-MY"/>
              </w:rPr>
              <w:t>and</w:t>
            </w:r>
            <w:r w:rsidR="00FD4B92" w:rsidRPr="00FD4B92">
              <w:rPr>
                <w:sz w:val="20"/>
                <w:szCs w:val="20"/>
                <w:lang w:val="en-MY"/>
              </w:rPr>
              <w:t xml:space="preserve"> treated with subcutaneous enoxaparin and intravenous antibiotics. Subsequently, he underwent catheter-directed thrombolysis and aspiration thrombectom</w:t>
            </w:r>
            <w:r w:rsidR="00944C33">
              <w:rPr>
                <w:sz w:val="20"/>
                <w:szCs w:val="20"/>
                <w:lang w:val="en-MY"/>
              </w:rPr>
              <w:t xml:space="preserve">y with removal of </w:t>
            </w:r>
            <w:r w:rsidR="00FD4B92" w:rsidRPr="00FD4B92">
              <w:rPr>
                <w:sz w:val="20"/>
                <w:szCs w:val="20"/>
                <w:lang w:val="en-MY"/>
              </w:rPr>
              <w:t>80% of clot burden. He was discharged with oral anticoagulant</w:t>
            </w:r>
            <w:r w:rsidR="00944C33">
              <w:rPr>
                <w:sz w:val="20"/>
                <w:szCs w:val="20"/>
                <w:lang w:val="en-MY"/>
              </w:rPr>
              <w:t>.</w:t>
            </w:r>
          </w:p>
          <w:p w14:paraId="28FC95BB" w14:textId="77777777" w:rsidR="005D7FBB" w:rsidRDefault="005D7FBB" w:rsidP="005D7FBB">
            <w:pPr>
              <w:rPr>
                <w:sz w:val="20"/>
                <w:szCs w:val="20"/>
                <w:lang w:val="en-MY"/>
              </w:rPr>
            </w:pPr>
          </w:p>
          <w:p w14:paraId="571C5184" w14:textId="06D610A0" w:rsidR="005D7FBB" w:rsidRPr="00FD4B92" w:rsidRDefault="007A4B3E" w:rsidP="005D7FBB">
            <w:pPr>
              <w:rPr>
                <w:sz w:val="20"/>
                <w:szCs w:val="20"/>
              </w:rPr>
            </w:pPr>
            <w:r>
              <w:rPr>
                <w:sz w:val="20"/>
                <w:szCs w:val="20"/>
                <w:lang w:val="en-MY"/>
              </w:rPr>
              <w:t xml:space="preserve">Discussion: </w:t>
            </w:r>
            <w:r w:rsidR="00FD4B92" w:rsidRPr="00FD4B92">
              <w:rPr>
                <w:sz w:val="20"/>
                <w:szCs w:val="20"/>
                <w:lang w:val="en-MY"/>
              </w:rPr>
              <w:t xml:space="preserve">Risk stratification of pulmonary embolism can occur by clinical gestalt or a risk stratification tool such as Wells’ score [1]. However, whether to use a risk stratification tool or clinical gestalt is a topic of debate [1]. A meta-analysis of prospective studies found that the sensitivity of clinical gestalt was comparable to risk stratification tools [1]. Wells’ score has pitfalls in which it </w:t>
            </w:r>
            <w:r w:rsidR="00944C33">
              <w:rPr>
                <w:sz w:val="20"/>
                <w:szCs w:val="20"/>
                <w:lang w:val="en-MY"/>
              </w:rPr>
              <w:t>excludes</w:t>
            </w:r>
            <w:r w:rsidR="00FD4B92" w:rsidRPr="00FD4B92">
              <w:rPr>
                <w:sz w:val="20"/>
                <w:szCs w:val="20"/>
                <w:lang w:val="en-MY"/>
              </w:rPr>
              <w:t xml:space="preserve"> other persistent risk factors (besides active malignancy), ECG and echocardiographic findings within its criteria. </w:t>
            </w:r>
            <w:r w:rsidR="0066764B">
              <w:rPr>
                <w:sz w:val="20"/>
                <w:szCs w:val="20"/>
                <w:lang w:val="en-MY"/>
              </w:rPr>
              <w:t>C</w:t>
            </w:r>
            <w:r w:rsidR="00FD4B92" w:rsidRPr="00FD4B92">
              <w:rPr>
                <w:sz w:val="20"/>
                <w:szCs w:val="20"/>
                <w:lang w:val="en-MY"/>
              </w:rPr>
              <w:t xml:space="preserve">linical gestalt can be used alternatively for risk stratification. Nephrotic syndrome is under-recognized as a risk factor of thromboembolism, which is related to increased synthesis of prothrombotic factors, urinary loss of antithrombotic proteins, hypoalbuminemia, impaired fibrinolysis, </w:t>
            </w:r>
            <w:r w:rsidR="0066764B">
              <w:rPr>
                <w:sz w:val="20"/>
                <w:szCs w:val="20"/>
                <w:lang w:val="en-MY"/>
              </w:rPr>
              <w:t>and</w:t>
            </w:r>
            <w:r w:rsidR="00FD4B92" w:rsidRPr="00FD4B92">
              <w:rPr>
                <w:sz w:val="20"/>
                <w:szCs w:val="20"/>
                <w:lang w:val="en-MY"/>
              </w:rPr>
              <w:t xml:space="preserve"> intravascular volume depletion leading to hypercoagulability and blood stasis [2]. Interventional therapy may be considered as reperfusion strategy in intermediate-risk pulmonary embolism with hemodynamic and respiratory deterioration [3]. </w:t>
            </w:r>
            <w:r w:rsidR="00FD4B92" w:rsidRPr="00FD4B92">
              <w:rPr>
                <w:sz w:val="20"/>
                <w:szCs w:val="20"/>
                <w:lang w:val="en-MY"/>
              </w:rPr>
              <w:br/>
            </w:r>
          </w:p>
          <w:p w14:paraId="1E058897" w14:textId="41076B57" w:rsidR="00944C33" w:rsidRDefault="007A4B3E" w:rsidP="00944C33">
            <w:pPr>
              <w:rPr>
                <w:sz w:val="20"/>
                <w:szCs w:val="20"/>
                <w:lang w:val="en-MY"/>
              </w:rPr>
            </w:pPr>
            <w:r>
              <w:rPr>
                <w:sz w:val="20"/>
                <w:szCs w:val="20"/>
                <w:lang w:val="en-MY"/>
              </w:rPr>
              <w:t xml:space="preserve">Conclusion: </w:t>
            </w:r>
            <w:r w:rsidR="00944C33" w:rsidRPr="00944C33">
              <w:rPr>
                <w:sz w:val="20"/>
                <w:szCs w:val="20"/>
                <w:lang w:val="en-MY"/>
              </w:rPr>
              <w:t>High index of suspicion with use of Wells’ score or clinical gestalt is required for diagnosis of pulmonary embolism.</w:t>
            </w:r>
            <w:r w:rsidR="00944C33">
              <w:rPr>
                <w:sz w:val="20"/>
                <w:szCs w:val="20"/>
                <w:lang w:val="en-MY"/>
              </w:rPr>
              <w:t xml:space="preserve"> </w:t>
            </w:r>
            <w:r w:rsidR="00EF569E">
              <w:rPr>
                <w:sz w:val="20"/>
                <w:szCs w:val="20"/>
                <w:lang w:val="en-MY"/>
              </w:rPr>
              <w:t>T</w:t>
            </w:r>
            <w:r w:rsidR="00944C33" w:rsidRPr="00944C33">
              <w:rPr>
                <w:sz w:val="20"/>
                <w:szCs w:val="20"/>
                <w:lang w:val="en-MY"/>
              </w:rPr>
              <w:t xml:space="preserve">he presence of another pathology (pneumonia) does not rule out pulmonary embolism. Timely recognition with prompt treatment will lead to </w:t>
            </w:r>
            <w:r w:rsidR="00944C33" w:rsidRPr="00944C33">
              <w:rPr>
                <w:sz w:val="20"/>
                <w:szCs w:val="20"/>
                <w:lang w:val="en-MY"/>
              </w:rPr>
              <w:t>favourable</w:t>
            </w:r>
            <w:r w:rsidR="00944C33" w:rsidRPr="00944C33">
              <w:rPr>
                <w:sz w:val="20"/>
                <w:szCs w:val="20"/>
                <w:lang w:val="en-MY"/>
              </w:rPr>
              <w:t xml:space="preserve"> outcome.</w:t>
            </w:r>
          </w:p>
          <w:p w14:paraId="554C38DE" w14:textId="77777777" w:rsidR="00944C33" w:rsidRDefault="00944C33" w:rsidP="00944C33">
            <w:pPr>
              <w:rPr>
                <w:sz w:val="20"/>
                <w:szCs w:val="20"/>
                <w:lang w:val="en-MY"/>
              </w:rPr>
            </w:pPr>
          </w:p>
          <w:p w14:paraId="0AEE44E3" w14:textId="7C45BAC5" w:rsidR="00454070" w:rsidRPr="00093CD9" w:rsidRDefault="007A4B3E" w:rsidP="00944C33">
            <w:pPr>
              <w:rPr>
                <w:sz w:val="20"/>
                <w:szCs w:val="20"/>
                <w:lang w:val="en-MY"/>
              </w:rPr>
            </w:pPr>
            <w:r>
              <w:rPr>
                <w:sz w:val="20"/>
                <w:szCs w:val="20"/>
              </w:rPr>
              <w:t xml:space="preserve">Keywords: </w:t>
            </w:r>
            <w:r w:rsidR="00944C33">
              <w:rPr>
                <w:sz w:val="20"/>
                <w:szCs w:val="20"/>
              </w:rPr>
              <w:t>Pulmonary Embolism, Clinical Gestalt, Wells’ Score</w:t>
            </w:r>
          </w:p>
          <w:p w14:paraId="71D570BC" w14:textId="77777777" w:rsidR="00454070" w:rsidRDefault="00454070">
            <w:pPr>
              <w:rPr>
                <w:iCs/>
                <w:sz w:val="20"/>
              </w:rPr>
            </w:pPr>
          </w:p>
          <w:p w14:paraId="2452C5F3" w14:textId="77777777" w:rsidR="00454070" w:rsidRDefault="00454070">
            <w:pPr>
              <w:rPr>
                <w:i/>
                <w:iCs/>
                <w:sz w:val="20"/>
              </w:rPr>
            </w:pPr>
          </w:p>
          <w:p w14:paraId="1680B31A" w14:textId="77777777" w:rsidR="00454070" w:rsidRDefault="00454070">
            <w:pPr>
              <w:rPr>
                <w:i/>
                <w:iCs/>
                <w:sz w:val="20"/>
              </w:rPr>
            </w:pPr>
          </w:p>
          <w:p w14:paraId="6263AC48" w14:textId="77777777" w:rsidR="00454070" w:rsidRDefault="00454070">
            <w:pPr>
              <w:rPr>
                <w:i/>
                <w:iCs/>
                <w:sz w:val="20"/>
              </w:rPr>
            </w:pPr>
          </w:p>
          <w:p w14:paraId="24D53D12" w14:textId="77777777" w:rsidR="00454070" w:rsidRDefault="00454070">
            <w:pPr>
              <w:rPr>
                <w:i/>
                <w:iCs/>
                <w:sz w:val="20"/>
              </w:rPr>
            </w:pPr>
          </w:p>
          <w:p w14:paraId="23949922" w14:textId="77777777" w:rsidR="00454070" w:rsidRDefault="00454070">
            <w:pPr>
              <w:rPr>
                <w:i/>
                <w:iCs/>
                <w:sz w:val="20"/>
              </w:rPr>
            </w:pPr>
          </w:p>
          <w:p w14:paraId="16C36CAB" w14:textId="77777777" w:rsidR="00454070" w:rsidRDefault="00454070">
            <w:pPr>
              <w:rPr>
                <w:i/>
                <w:iCs/>
                <w:sz w:val="20"/>
              </w:rPr>
            </w:pPr>
          </w:p>
          <w:p w14:paraId="622CA241" w14:textId="77777777" w:rsidR="00454070" w:rsidRDefault="00454070">
            <w:pPr>
              <w:rPr>
                <w:i/>
                <w:iCs/>
                <w:sz w:val="20"/>
              </w:rPr>
            </w:pPr>
          </w:p>
          <w:p w14:paraId="6559720D" w14:textId="77777777" w:rsidR="00454070" w:rsidRDefault="00454070">
            <w:pPr>
              <w:rPr>
                <w:i/>
                <w:iCs/>
                <w:sz w:val="20"/>
              </w:rPr>
            </w:pPr>
          </w:p>
          <w:p w14:paraId="33793FC7" w14:textId="77777777" w:rsidR="00454070" w:rsidRDefault="00454070">
            <w:pPr>
              <w:rPr>
                <w:i/>
                <w:iCs/>
                <w:sz w:val="20"/>
              </w:rPr>
            </w:pPr>
          </w:p>
          <w:p w14:paraId="4D909414" w14:textId="77777777" w:rsidR="00454070" w:rsidRDefault="00454070">
            <w:pPr>
              <w:rPr>
                <w:i/>
                <w:iCs/>
                <w:sz w:val="20"/>
              </w:rPr>
            </w:pPr>
          </w:p>
          <w:p w14:paraId="3E8D947D" w14:textId="77777777" w:rsidR="00454070" w:rsidRDefault="00454070">
            <w:pPr>
              <w:rPr>
                <w:i/>
                <w:iCs/>
                <w:sz w:val="20"/>
              </w:rPr>
            </w:pPr>
          </w:p>
          <w:p w14:paraId="5886555A" w14:textId="77777777" w:rsidR="00454070" w:rsidRDefault="00454070">
            <w:pPr>
              <w:rPr>
                <w:i/>
                <w:iCs/>
                <w:sz w:val="20"/>
              </w:rPr>
            </w:pPr>
          </w:p>
          <w:p w14:paraId="348544A6" w14:textId="77777777" w:rsidR="00454070" w:rsidRDefault="00454070">
            <w:pPr>
              <w:rPr>
                <w:i/>
                <w:iCs/>
                <w:sz w:val="20"/>
              </w:rPr>
            </w:pPr>
          </w:p>
          <w:p w14:paraId="77A75DCE" w14:textId="77777777" w:rsidR="00454070" w:rsidRDefault="00454070">
            <w:pPr>
              <w:rPr>
                <w:i/>
                <w:iCs/>
                <w:sz w:val="20"/>
              </w:rPr>
            </w:pPr>
          </w:p>
          <w:p w14:paraId="6AC6AF4E" w14:textId="77777777" w:rsidR="00454070" w:rsidRDefault="00454070">
            <w:pPr>
              <w:rPr>
                <w:i/>
                <w:iCs/>
                <w:sz w:val="20"/>
              </w:rPr>
            </w:pPr>
          </w:p>
          <w:p w14:paraId="63402CC2" w14:textId="77777777" w:rsidR="00454070" w:rsidRDefault="00454070">
            <w:pPr>
              <w:rPr>
                <w:i/>
                <w:iCs/>
                <w:sz w:val="20"/>
              </w:rPr>
            </w:pPr>
          </w:p>
          <w:p w14:paraId="3001FE32" w14:textId="77777777" w:rsidR="00454070" w:rsidRDefault="00454070">
            <w:pPr>
              <w:rPr>
                <w:i/>
                <w:iCs/>
                <w:sz w:val="20"/>
              </w:rPr>
            </w:pPr>
          </w:p>
          <w:p w14:paraId="57819755" w14:textId="77777777" w:rsidR="00454070" w:rsidRDefault="00454070">
            <w:pPr>
              <w:rPr>
                <w:i/>
                <w:iCs/>
                <w:sz w:val="20"/>
              </w:rPr>
            </w:pPr>
          </w:p>
          <w:p w14:paraId="2197898C" w14:textId="77777777" w:rsidR="00454070" w:rsidRDefault="00454070">
            <w:pPr>
              <w:rPr>
                <w:i/>
                <w:iCs/>
                <w:sz w:val="20"/>
              </w:rPr>
            </w:pPr>
          </w:p>
          <w:p w14:paraId="4D848864" w14:textId="77777777" w:rsidR="00454070" w:rsidRDefault="00454070">
            <w:pPr>
              <w:rPr>
                <w:i/>
                <w:iCs/>
                <w:sz w:val="20"/>
              </w:rPr>
            </w:pPr>
          </w:p>
          <w:p w14:paraId="70713792" w14:textId="77777777" w:rsidR="00454070" w:rsidRDefault="00454070">
            <w:pPr>
              <w:rPr>
                <w:i/>
                <w:iCs/>
                <w:sz w:val="20"/>
              </w:rPr>
            </w:pPr>
          </w:p>
          <w:p w14:paraId="426DD4AC" w14:textId="77777777" w:rsidR="00454070" w:rsidRDefault="00454070">
            <w:pPr>
              <w:rPr>
                <w:i/>
                <w:iCs/>
                <w:sz w:val="20"/>
              </w:rPr>
            </w:pPr>
          </w:p>
          <w:p w14:paraId="0A84B543" w14:textId="77777777" w:rsidR="00454070" w:rsidRDefault="00454070">
            <w:pPr>
              <w:rPr>
                <w:i/>
                <w:iCs/>
                <w:sz w:val="20"/>
              </w:rPr>
            </w:pPr>
          </w:p>
          <w:p w14:paraId="202A7899" w14:textId="77777777" w:rsidR="00454070" w:rsidRDefault="00454070">
            <w:pPr>
              <w:rPr>
                <w:i/>
                <w:iCs/>
                <w:sz w:val="20"/>
              </w:rPr>
            </w:pPr>
          </w:p>
          <w:p w14:paraId="18615456" w14:textId="77777777" w:rsidR="00454070" w:rsidRDefault="00454070">
            <w:pPr>
              <w:rPr>
                <w:i/>
                <w:iCs/>
                <w:sz w:val="20"/>
              </w:rPr>
            </w:pPr>
          </w:p>
          <w:p w14:paraId="68ED170B" w14:textId="77777777" w:rsidR="00454070" w:rsidRDefault="00454070">
            <w:pPr>
              <w:rPr>
                <w:i/>
                <w:iCs/>
                <w:sz w:val="20"/>
              </w:rPr>
            </w:pPr>
          </w:p>
          <w:p w14:paraId="6A99FCDA" w14:textId="77777777" w:rsidR="00454070" w:rsidRDefault="00454070">
            <w:pPr>
              <w:rPr>
                <w:i/>
                <w:iCs/>
                <w:sz w:val="20"/>
              </w:rPr>
            </w:pPr>
          </w:p>
          <w:p w14:paraId="30861AB4" w14:textId="77777777" w:rsidR="00454070" w:rsidRDefault="00454070">
            <w:pPr>
              <w:rPr>
                <w:i/>
                <w:iCs/>
                <w:sz w:val="20"/>
              </w:rPr>
            </w:pPr>
          </w:p>
        </w:tc>
      </w:tr>
    </w:tbl>
    <w:p w14:paraId="5DDDEDD6" w14:textId="77777777" w:rsidR="00454070" w:rsidRDefault="00454070"/>
    <w:p w14:paraId="25FA02EF" w14:textId="77777777" w:rsidR="00454070" w:rsidRDefault="00454070"/>
    <w:sectPr w:rsidR="00454070">
      <w:pgSz w:w="11906" w:h="16838"/>
      <w:pgMar w:top="567" w:right="1797" w:bottom="357" w:left="1440"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ACF3C52" w:usb2="00000016" w:usb3="00000000" w:csb0="0004001F" w:csb1="00000000"/>
  </w:font>
  <w:font w:name="Mangal">
    <w:panose1 w:val="02040503050203030202"/>
    <w:charset w:val="01"/>
    <w:family w:val="roman"/>
    <w:pitch w:val="variable"/>
    <w:sig w:usb0="0000A003" w:usb1="00000000" w:usb2="00000000" w:usb3="00000000" w:csb0="00000001"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Wingdings" w:hAnsi="Wingdings" w:cs="Wingdings" w:hint="default"/>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496845333">
    <w:abstractNumId w:val="0"/>
  </w:num>
  <w:num w:numId="2" w16cid:durableId="7977705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D15"/>
    <w:rsid w:val="000617E4"/>
    <w:rsid w:val="00093CD9"/>
    <w:rsid w:val="000E4BB7"/>
    <w:rsid w:val="001250D5"/>
    <w:rsid w:val="00257D79"/>
    <w:rsid w:val="002C05AD"/>
    <w:rsid w:val="0033178D"/>
    <w:rsid w:val="003537F5"/>
    <w:rsid w:val="00414FBE"/>
    <w:rsid w:val="00422D15"/>
    <w:rsid w:val="00454070"/>
    <w:rsid w:val="00497C97"/>
    <w:rsid w:val="00597E9B"/>
    <w:rsid w:val="005D7FBB"/>
    <w:rsid w:val="0066764B"/>
    <w:rsid w:val="00743521"/>
    <w:rsid w:val="007439C4"/>
    <w:rsid w:val="00782114"/>
    <w:rsid w:val="007A4B3E"/>
    <w:rsid w:val="00865863"/>
    <w:rsid w:val="00944C33"/>
    <w:rsid w:val="009554B7"/>
    <w:rsid w:val="00963AA9"/>
    <w:rsid w:val="00B65487"/>
    <w:rsid w:val="00BB697C"/>
    <w:rsid w:val="00C86747"/>
    <w:rsid w:val="00D754CF"/>
    <w:rsid w:val="00E12C8B"/>
    <w:rsid w:val="00EF569E"/>
    <w:rsid w:val="00F96927"/>
    <w:rsid w:val="00FD4B92"/>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E1E574D"/>
  <w15:chartTrackingRefBased/>
  <w15:docId w15:val="{8FDE5CD4-E1D9-C04B-B767-31C6769C9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MY"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Wingdings" w:hAnsi="Wingdings" w:cs="Wingdings" w:hint="default"/>
    </w:rPr>
  </w:style>
  <w:style w:type="character" w:customStyle="1" w:styleId="WW8Num1z1">
    <w:name w:val="WW8Num1z1"/>
    <w:rPr>
      <w:rFonts w:ascii="Courier New" w:hAnsi="Courier New" w:cs="Courier New" w:hint="default"/>
    </w:rPr>
  </w:style>
  <w:style w:type="character" w:customStyle="1" w:styleId="WW8Num1z3">
    <w:name w:val="WW8Num1z3"/>
    <w:rPr>
      <w:rFonts w:ascii="Symbol" w:hAnsi="Symbol" w:cs="Symbol" w:hint="default"/>
    </w:rPr>
  </w:style>
  <w:style w:type="character" w:customStyle="1" w:styleId="WW8Num2z0">
    <w:name w:val="WW8Num2z0"/>
    <w:rPr>
      <w:rFonts w:ascii="Symbol" w:hAnsi="Symbol" w:cs="Symbol" w:hint="default"/>
      <w:sz w:val="20"/>
    </w:rPr>
  </w:style>
  <w:style w:type="character" w:customStyle="1" w:styleId="WW8Num2z1">
    <w:name w:val="WW8Num2z1"/>
  </w:style>
  <w:style w:type="character" w:customStyle="1" w:styleId="WW8Num2z2">
    <w:name w:val="WW8Num2z2"/>
    <w:rPr>
      <w:rFonts w:ascii="Wingdings" w:hAnsi="Wingdings" w:cs="Wingdings" w:hint="default"/>
      <w:sz w:val="20"/>
    </w:rPr>
  </w:style>
  <w:style w:type="character" w:customStyle="1" w:styleId="A0">
    <w:name w:val="A0"/>
    <w:rPr>
      <w:color w:val="000000"/>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BodyTextIndent">
    <w:name w:val="Body Text Indent"/>
    <w:basedOn w:val="Normal"/>
    <w:pPr>
      <w:ind w:left="180"/>
    </w:pPr>
    <w:rPr>
      <w:b/>
      <w:bCs/>
    </w:rPr>
  </w:style>
  <w:style w:type="paragraph" w:customStyle="1" w:styleId="WW-Default">
    <w:name w:val="WW-Default"/>
    <w:pPr>
      <w:suppressAutoHyphens/>
      <w:autoSpaceDE w:val="0"/>
    </w:pPr>
    <w:rPr>
      <w:color w:val="000000"/>
      <w:sz w:val="24"/>
      <w:szCs w:val="24"/>
      <w:lang w:val="en-US" w:eastAsia="ar-S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41744">
      <w:bodyDiv w:val="1"/>
      <w:marLeft w:val="0"/>
      <w:marRight w:val="0"/>
      <w:marTop w:val="0"/>
      <w:marBottom w:val="0"/>
      <w:divBdr>
        <w:top w:val="none" w:sz="0" w:space="0" w:color="auto"/>
        <w:left w:val="none" w:sz="0" w:space="0" w:color="auto"/>
        <w:bottom w:val="none" w:sz="0" w:space="0" w:color="auto"/>
        <w:right w:val="none" w:sz="0" w:space="0" w:color="auto"/>
      </w:divBdr>
    </w:div>
    <w:div w:id="326515357">
      <w:bodyDiv w:val="1"/>
      <w:marLeft w:val="0"/>
      <w:marRight w:val="0"/>
      <w:marTop w:val="0"/>
      <w:marBottom w:val="0"/>
      <w:divBdr>
        <w:top w:val="none" w:sz="0" w:space="0" w:color="auto"/>
        <w:left w:val="none" w:sz="0" w:space="0" w:color="auto"/>
        <w:bottom w:val="none" w:sz="0" w:space="0" w:color="auto"/>
        <w:right w:val="none" w:sz="0" w:space="0" w:color="auto"/>
      </w:divBdr>
    </w:div>
    <w:div w:id="155904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430</Words>
  <Characters>2456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PAPER TITLE (Times New Roman 12 font bold, left aligned)</vt:lpstr>
    </vt:vector>
  </TitlesOfParts>
  <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(Times New Roman 12 font bold, left aligned)</dc:title>
  <dc:subject/>
  <dc:creator>Lenovo</dc:creator>
  <cp:keywords/>
  <cp:lastModifiedBy>Ya Tian</cp:lastModifiedBy>
  <cp:revision>6</cp:revision>
  <cp:lastPrinted>2007-09-25T07:39:00Z</cp:lastPrinted>
  <dcterms:created xsi:type="dcterms:W3CDTF">2024-06-15T14:17:00Z</dcterms:created>
  <dcterms:modified xsi:type="dcterms:W3CDTF">2024-06-15T14:31:00Z</dcterms:modified>
</cp:coreProperties>
</file>