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75FE" w14:textId="6BDD9552" w:rsidR="00FC2183" w:rsidRPr="00790CCA" w:rsidRDefault="00505D02" w:rsidP="00C21A3A">
      <w:pPr>
        <w:spacing w:line="480" w:lineRule="auto"/>
        <w:ind w:left="-450" w:right="-274"/>
        <w:jc w:val="center"/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</w:pPr>
      <w:r w:rsidRPr="00790CC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 xml:space="preserve">Team-based-learning </w:t>
      </w:r>
      <w:r w:rsidR="0056734D" w:rsidRPr="00790CC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>in</w:t>
      </w:r>
      <w:r w:rsidRPr="00790CC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 xml:space="preserve"> teach</w:t>
      </w:r>
      <w:r w:rsidR="0056734D" w:rsidRPr="00790CC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>ing</w:t>
      </w:r>
      <w:r w:rsidRPr="00790CC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 xml:space="preserve"> disaster medicine</w:t>
      </w:r>
      <w:r w:rsidR="00C21A3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 xml:space="preserve"> </w:t>
      </w:r>
      <w:r w:rsidRPr="00790CC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>for undergraduate medical</w:t>
      </w:r>
      <w:r w:rsidR="00C21A3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 xml:space="preserve"> </w:t>
      </w:r>
      <w:r w:rsidRPr="00790CCA">
        <w:rPr>
          <w:rFonts w:asciiTheme="majorHAnsi" w:hAnsiTheme="majorHAnsi" w:cstheme="majorHAnsi"/>
          <w:b/>
          <w:caps/>
          <w:color w:val="000000" w:themeColor="text1"/>
          <w:sz w:val="22"/>
          <w:szCs w:val="22"/>
        </w:rPr>
        <w:t>students</w:t>
      </w:r>
    </w:p>
    <w:p w14:paraId="183C5456" w14:textId="1D6CA7A6" w:rsidR="004D55BC" w:rsidRPr="00790CCA" w:rsidRDefault="004D55BC" w:rsidP="00790CCA">
      <w:pPr>
        <w:spacing w:line="480" w:lineRule="auto"/>
        <w:ind w:left="-450" w:right="-274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90CCA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Fikri M. Abu-Zidan</w:t>
      </w:r>
      <w:r w:rsidR="00790CCA" w:rsidRPr="00790CCA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1</w:t>
      </w:r>
      <w:r w:rsid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FC2183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Arif Alper Cevik</w:t>
      </w:r>
      <w:r w:rsidR="00790CCA" w:rsidRPr="00790CCA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2</w:t>
      </w:r>
    </w:p>
    <w:p w14:paraId="76C6EE25" w14:textId="3FC33AF6" w:rsidR="00790CCA" w:rsidRPr="00790CCA" w:rsidRDefault="00790CCA" w:rsidP="00790CCA">
      <w:pPr>
        <w:ind w:right="9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The Research Office</w:t>
      </w:r>
      <w:r w:rsidRPr="00790CCA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1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Department of Internal Medicine</w:t>
      </w:r>
      <w:r w:rsidRPr="00790CCA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2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, College of Medicine and Health Sciences, United Arab Emirates University, Al Ain, United Arab Emirates</w:t>
      </w:r>
    </w:p>
    <w:p w14:paraId="5DCF294C" w14:textId="77777777" w:rsidR="00790CCA" w:rsidRDefault="00790CCA" w:rsidP="00790CCA">
      <w:pPr>
        <w:ind w:right="9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05E50E3" w14:textId="7D7071EA" w:rsidR="00263318" w:rsidRPr="00790CCA" w:rsidRDefault="00B63339" w:rsidP="00790CCA">
      <w:pPr>
        <w:ind w:right="9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790CC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Introduction</w:t>
      </w:r>
      <w:r w:rsidR="00790CCA" w:rsidRPr="00790CC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and aim</w:t>
      </w:r>
      <w:r w:rsidR="00FC2183" w:rsidRPr="00790CC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FC2183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63318" w:rsidRPr="00790CCA">
        <w:rPr>
          <w:rFonts w:asciiTheme="majorHAnsi" w:hAnsiTheme="majorHAnsi" w:cstheme="majorHAnsi"/>
          <w:sz w:val="22"/>
          <w:szCs w:val="22"/>
        </w:rPr>
        <w:t>Team-Based Learning (TBL) is accepted as an active learning method with positive</w:t>
      </w:r>
      <w:r w:rsidR="007D6FBA" w:rsidRPr="00790CCA">
        <w:rPr>
          <w:rFonts w:asciiTheme="majorHAnsi" w:hAnsiTheme="majorHAnsi" w:cstheme="majorHAnsi"/>
          <w:sz w:val="22"/>
          <w:szCs w:val="22"/>
        </w:rPr>
        <w:t xml:space="preserve"> effects on learning outcomes (1-2</w:t>
      </w:r>
      <w:r w:rsidR="00263318" w:rsidRPr="00790CCA">
        <w:rPr>
          <w:rFonts w:asciiTheme="majorHAnsi" w:hAnsiTheme="majorHAnsi" w:cstheme="majorHAnsi"/>
          <w:sz w:val="22"/>
          <w:szCs w:val="22"/>
        </w:rPr>
        <w:t xml:space="preserve">). </w:t>
      </w:r>
      <w:r w:rsidR="00790CCA" w:rsidRPr="00790CCA">
        <w:rPr>
          <w:rFonts w:asciiTheme="majorHAnsi" w:hAnsiTheme="majorHAnsi" w:cstheme="majorHAnsi"/>
          <w:sz w:val="22"/>
          <w:szCs w:val="22"/>
        </w:rPr>
        <w:t xml:space="preserve">We aim </w:t>
      </w:r>
      <w:r w:rsidR="00263318" w:rsidRPr="00790CCA">
        <w:rPr>
          <w:rFonts w:asciiTheme="majorHAnsi" w:hAnsiTheme="majorHAnsi" w:cstheme="majorHAnsi"/>
          <w:sz w:val="22"/>
          <w:szCs w:val="22"/>
        </w:rPr>
        <w:t xml:space="preserve">to report our recent experience in using TBL </w:t>
      </w:r>
      <w:r w:rsidR="000752A0" w:rsidRPr="00790CCA">
        <w:rPr>
          <w:rFonts w:asciiTheme="majorHAnsi" w:hAnsiTheme="majorHAnsi" w:cstheme="majorHAnsi"/>
          <w:sz w:val="22"/>
          <w:szCs w:val="22"/>
        </w:rPr>
        <w:t xml:space="preserve">in </w:t>
      </w:r>
      <w:r w:rsidR="00263318" w:rsidRPr="00790CCA">
        <w:rPr>
          <w:rFonts w:asciiTheme="majorHAnsi" w:hAnsiTheme="majorHAnsi" w:cstheme="majorHAnsi"/>
          <w:sz w:val="22"/>
          <w:szCs w:val="22"/>
        </w:rPr>
        <w:t>teaching disaster medicine</w:t>
      </w:r>
      <w:r w:rsidR="000752A0" w:rsidRPr="00790CCA">
        <w:rPr>
          <w:rFonts w:asciiTheme="majorHAnsi" w:hAnsiTheme="majorHAnsi" w:cstheme="majorHAnsi"/>
          <w:sz w:val="22"/>
          <w:szCs w:val="22"/>
        </w:rPr>
        <w:t xml:space="preserve"> for undergraduate medical students</w:t>
      </w:r>
      <w:r w:rsidR="00263318" w:rsidRPr="00790CCA">
        <w:rPr>
          <w:rFonts w:asciiTheme="majorHAnsi" w:hAnsiTheme="majorHAnsi" w:cstheme="majorHAnsi"/>
          <w:sz w:val="22"/>
          <w:szCs w:val="22"/>
        </w:rPr>
        <w:t>.</w:t>
      </w:r>
    </w:p>
    <w:p w14:paraId="3D51BD87" w14:textId="28D9E15C" w:rsidR="000752A0" w:rsidRPr="00790CCA" w:rsidRDefault="00FC2183" w:rsidP="00790CCA">
      <w:pPr>
        <w:ind w:right="9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90CC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Methods:</w:t>
      </w:r>
      <w:r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year medical student</w:t>
      </w:r>
      <w:r w:rsidR="00106724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were asked to triage victims of </w:t>
      </w:r>
      <w:r w:rsidR="000752A0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standardized clinical scenario of a car bomb that resulted in 6 victims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using TBL</w:t>
      </w:r>
      <w:r w:rsidR="000752A0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. The inj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uries ranged between psychological trauma</w:t>
      </w:r>
      <w:r w:rsidR="000752A0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expectant death. TBL activity was part of the undergraduate surgical curriculum and lasted for 2 hours. 98 medical students (60 females, 38 males) were taught in 24 teams having 3-6 students in 6 sessions (4 teams in each session) during the period of </w:t>
      </w:r>
      <w:r w:rsidR="00EB4F07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12 </w:t>
      </w:r>
      <w:r w:rsidR="00790CCA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months.</w:t>
      </w:r>
      <w:r w:rsid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gramStart"/>
      <w:r w:rsidR="00790CCA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Triage</w:t>
      </w:r>
      <w:proofErr w:type="gramEnd"/>
      <w:r w:rsidR="00063A47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was done according to a</w:t>
      </w:r>
      <w:r w:rsidR="000752A0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simple ABC approach.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Initially each student </w:t>
      </w:r>
      <w:r w:rsidR="00790CCA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did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triage alone, then with the team, and finally with the whole class. </w:t>
      </w:r>
      <w:r w:rsidR="000752A0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team leader was chosen for each team in which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she/</w:t>
      </w:r>
      <w:r w:rsidR="000752A0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he was asked to facilitate the discussion, present the findings, and defend the group decision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the class discussion</w:t>
      </w:r>
      <w:r w:rsidR="000752A0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3E0AC34" w14:textId="55A24557" w:rsidR="00352F99" w:rsidRPr="00790CCA" w:rsidRDefault="00790CCA" w:rsidP="00790CCA">
      <w:pPr>
        <w:ind w:right="9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90CC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Results</w:t>
      </w:r>
      <w:r w:rsidR="00FC2183" w:rsidRPr="00790CC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FC2183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TBL sessions were dynamic, rich in debate, and interactive. The students were completely involved in the discussion </w:t>
      </w:r>
      <w:r w:rsidR="00063A47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>the decision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 w:rsidR="00352F99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making process. They showed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maturity in understanding the scenario, following the rules, </w:t>
      </w:r>
      <w:r w:rsidR="00106724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</w:t>
      </w:r>
      <w:r w:rsidR="004D55BC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making and defending their decisions.  There were two </w:t>
      </w:r>
      <w:r w:rsidR="00352F99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clear observations on the triage of the students. Students over-triaged the victims and did not use the expectant category. </w:t>
      </w:r>
    </w:p>
    <w:p w14:paraId="3C55C64B" w14:textId="303ACB58" w:rsidR="000849C4" w:rsidRPr="00790CCA" w:rsidRDefault="00FC2183" w:rsidP="00790CCA">
      <w:pPr>
        <w:ind w:right="9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90CC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Conclusions:</w:t>
      </w:r>
      <w:r w:rsidR="00352F99" w:rsidRPr="00790C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Principles of disaster medicine, like triage, can be included in the undergraduate curriculum. TBL was useful in promoting working within teams, critical decision making, and leadership; all are essential components of management of disasters.</w:t>
      </w:r>
    </w:p>
    <w:p w14:paraId="2BD59029" w14:textId="3EA11F29" w:rsidR="00E64516" w:rsidRPr="00790CCA" w:rsidRDefault="00E64516" w:rsidP="00790CCA">
      <w:pPr>
        <w:ind w:right="9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E64516" w:rsidRPr="00790CCA" w:rsidSect="00BE32FF">
      <w:pgSz w:w="11906" w:h="16838" w:code="9"/>
      <w:pgMar w:top="1440" w:right="1230" w:bottom="805" w:left="123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drawingGridHorizontalSpacing w:val="105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183"/>
    <w:rsid w:val="00063A47"/>
    <w:rsid w:val="000752A0"/>
    <w:rsid w:val="000769B7"/>
    <w:rsid w:val="000849C4"/>
    <w:rsid w:val="00106724"/>
    <w:rsid w:val="001C7818"/>
    <w:rsid w:val="00263318"/>
    <w:rsid w:val="00352F99"/>
    <w:rsid w:val="004B6898"/>
    <w:rsid w:val="004D55BC"/>
    <w:rsid w:val="00505D02"/>
    <w:rsid w:val="0056734D"/>
    <w:rsid w:val="00653220"/>
    <w:rsid w:val="00790CCA"/>
    <w:rsid w:val="007D6FBA"/>
    <w:rsid w:val="0083365C"/>
    <w:rsid w:val="00A6517F"/>
    <w:rsid w:val="00B4417E"/>
    <w:rsid w:val="00B63339"/>
    <w:rsid w:val="00BD10A0"/>
    <w:rsid w:val="00BE32FF"/>
    <w:rsid w:val="00C21A3A"/>
    <w:rsid w:val="00CC5B56"/>
    <w:rsid w:val="00DC4636"/>
    <w:rsid w:val="00E64516"/>
    <w:rsid w:val="00EA67F3"/>
    <w:rsid w:val="00EB4F07"/>
    <w:rsid w:val="00F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8C4A"/>
  <w15:docId w15:val="{A5496AAB-FA3F-4DFA-B673-975F85AB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8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AbuZidan</dc:creator>
  <cp:lastModifiedBy>Fikri Abu-Zidan</cp:lastModifiedBy>
  <cp:revision>7</cp:revision>
  <cp:lastPrinted>2017-11-01T13:16:00Z</cp:lastPrinted>
  <dcterms:created xsi:type="dcterms:W3CDTF">2017-11-02T11:19:00Z</dcterms:created>
  <dcterms:modified xsi:type="dcterms:W3CDTF">2024-03-22T09:33:00Z</dcterms:modified>
</cp:coreProperties>
</file>