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default"/>
          <w:b/>
          <w:bCs/>
          <w:lang w:val="en-US"/>
        </w:rPr>
      </w:pPr>
      <w:r>
        <w:rPr>
          <w:rFonts w:hint="default"/>
          <w:b/>
          <w:bCs/>
          <w:lang w:val="en-US"/>
        </w:rPr>
        <w:t>THE CYANOSED NORMOXIA GENTLEMAN: A rare presentation of dapsone-induced methaemoglobinemia</w:t>
      </w:r>
    </w:p>
    <w:p>
      <w:pPr>
        <w:jc w:val="both"/>
        <w:rPr>
          <w:rFonts w:hint="default"/>
          <w:b/>
          <w:bCs/>
          <w:lang w:val="en-US"/>
        </w:rPr>
      </w:pPr>
    </w:p>
    <w:p>
      <w:pPr>
        <w:jc w:val="both"/>
        <w:rPr>
          <w:rFonts w:hint="default"/>
          <w:b/>
          <w:bCs/>
          <w:lang w:val="en-US"/>
        </w:rPr>
      </w:pPr>
      <w:r>
        <w:rPr>
          <w:rFonts w:hint="default"/>
          <w:b/>
          <w:bCs/>
          <w:lang w:val="en-US"/>
        </w:rPr>
        <w:t>Authors: Joanne Sue James ; Devarani A/P M Valusamy</w:t>
      </w:r>
    </w:p>
    <w:p>
      <w:pPr>
        <w:jc w:val="both"/>
        <w:rPr>
          <w:rFonts w:hint="default"/>
          <w:b/>
          <w:bCs/>
          <w:lang w:val="en-US"/>
        </w:rPr>
      </w:pPr>
      <w:r>
        <w:rPr>
          <w:rFonts w:hint="default"/>
          <w:b/>
          <w:bCs/>
          <w:lang w:val="en-US"/>
        </w:rPr>
        <w:t xml:space="preserve">               Hospital Sultan Idris Shah, Serdang; Ministry of Health</w:t>
      </w:r>
    </w:p>
    <w:p>
      <w:pPr>
        <w:jc w:val="both"/>
        <w:rPr>
          <w:rFonts w:hint="default"/>
          <w:b/>
          <w:bCs/>
          <w:lang w:val="en-US"/>
        </w:rPr>
      </w:pPr>
    </w:p>
    <w:p>
      <w:pPr>
        <w:jc w:val="both"/>
        <w:rPr>
          <w:rFonts w:hint="default"/>
          <w:b/>
          <w:bCs/>
          <w:lang w:val="en-US"/>
        </w:rPr>
      </w:pPr>
      <w:r>
        <w:rPr>
          <w:rFonts w:hint="default"/>
          <w:b/>
          <w:bCs/>
          <w:lang w:val="en-US"/>
        </w:rPr>
        <w:t>Keywords; cyanosed, methaemoglobinemia, methylene blue</w:t>
      </w:r>
    </w:p>
    <w:p>
      <w:pPr>
        <w:jc w:val="both"/>
        <w:rPr>
          <w:rFonts w:hint="default"/>
          <w:b/>
          <w:bCs/>
          <w:lang w:val="en-US"/>
        </w:rPr>
      </w:pPr>
    </w:p>
    <w:p>
      <w:pPr>
        <w:jc w:val="both"/>
        <w:rPr>
          <w:rFonts w:hint="default"/>
          <w:b/>
          <w:bCs/>
          <w:lang w:val="en-US"/>
        </w:rPr>
      </w:pPr>
      <w:bookmarkStart w:id="0" w:name="_GoBack"/>
      <w:r>
        <w:rPr>
          <w:rFonts w:hint="default"/>
          <w:b/>
          <w:bCs/>
          <w:lang w:val="en-US"/>
        </w:rPr>
        <w:t>Introduction:</w:t>
      </w:r>
    </w:p>
    <w:p>
      <w:pPr>
        <w:jc w:val="both"/>
        <w:rPr>
          <w:rFonts w:hint="default"/>
          <w:b w:val="0"/>
          <w:bCs w:val="0"/>
          <w:lang w:val="en-US"/>
        </w:rPr>
      </w:pPr>
      <w:r>
        <w:rPr>
          <w:rFonts w:hint="default"/>
          <w:b w:val="0"/>
          <w:bCs w:val="0"/>
          <w:lang w:val="en-US"/>
        </w:rPr>
        <w:t xml:space="preserve">When encountering a cyanosed patient, we often anticipate a tachypneic patient with severe hypoxia in their blood gas. What if these patients don’t exhibit severe tachypnea or hypoxia? This is possible in methaemoglobinemia, a condition whereby there is oxidation of iron from ferrous form (Fe 2+ ) to ferric form ( Fe 3+) which induces a haemoglobin structural change that shifts the oxygen dissociation curve to the left, reducing the unloading of oxygen at the tissues as well as the oxygen carrying capacity. </w:t>
      </w:r>
    </w:p>
    <w:p>
      <w:pPr>
        <w:jc w:val="both"/>
        <w:rPr>
          <w:rFonts w:hint="default"/>
          <w:b w:val="0"/>
          <w:bCs w:val="0"/>
          <w:lang w:val="en-US"/>
        </w:rPr>
      </w:pPr>
    </w:p>
    <w:p>
      <w:pPr>
        <w:jc w:val="both"/>
        <w:rPr>
          <w:rFonts w:hint="default"/>
          <w:b/>
          <w:bCs/>
          <w:lang w:val="en-US"/>
        </w:rPr>
      </w:pPr>
      <w:r>
        <w:rPr>
          <w:rFonts w:hint="default"/>
          <w:b/>
          <w:bCs/>
          <w:lang w:val="en-US"/>
        </w:rPr>
        <w:t>Description:</w:t>
      </w:r>
    </w:p>
    <w:p>
      <w:pPr>
        <w:jc w:val="both"/>
        <w:rPr>
          <w:rFonts w:hint="default"/>
          <w:b w:val="0"/>
          <w:bCs w:val="0"/>
          <w:lang w:val="en-US"/>
        </w:rPr>
      </w:pPr>
      <w:r>
        <w:rPr>
          <w:rFonts w:hint="default"/>
          <w:b w:val="0"/>
          <w:bCs w:val="0"/>
          <w:lang w:val="en-US"/>
        </w:rPr>
        <w:t>We present a 44 year old Chinese gentleman with HIV and multiple prior admissions for PCP (Pneumocystis Pneumonia). He was started on Tablet Dapsone 200mg OD during his clinic appointment. He came to us with a complaint of generalised rashes 4 days after initiation of Tablet Dapsone with a one week history of fever . His vital signs are;</w:t>
      </w:r>
    </w:p>
    <w:p>
      <w:pPr>
        <w:jc w:val="both"/>
        <w:rPr>
          <w:rFonts w:hint="default"/>
          <w:b w:val="0"/>
          <w:bCs w:val="0"/>
          <w:lang w:val="en-US"/>
        </w:rPr>
      </w:pPr>
      <w:r>
        <w:rPr>
          <w:rFonts w:hint="default"/>
          <w:b w:val="0"/>
          <w:bCs w:val="0"/>
          <w:lang w:val="en-US"/>
        </w:rPr>
        <w:t>BP 127/77</w:t>
      </w:r>
    </w:p>
    <w:p>
      <w:pPr>
        <w:jc w:val="both"/>
        <w:rPr>
          <w:rFonts w:hint="default"/>
          <w:b w:val="0"/>
          <w:bCs w:val="0"/>
          <w:lang w:val="en-US"/>
        </w:rPr>
      </w:pPr>
      <w:r>
        <w:rPr>
          <w:rFonts w:hint="default"/>
          <w:b w:val="0"/>
          <w:bCs w:val="0"/>
          <w:lang w:val="en-US"/>
        </w:rPr>
        <w:t>HR 127</w:t>
      </w:r>
    </w:p>
    <w:p>
      <w:pPr>
        <w:jc w:val="both"/>
        <w:rPr>
          <w:rFonts w:hint="default"/>
          <w:b w:val="0"/>
          <w:bCs w:val="0"/>
          <w:lang w:val="en-US"/>
        </w:rPr>
      </w:pPr>
      <w:r>
        <w:rPr>
          <w:rFonts w:hint="default"/>
          <w:b w:val="0"/>
          <w:bCs w:val="0"/>
          <w:lang w:val="en-US"/>
        </w:rPr>
        <w:t>T 38.7</w:t>
      </w:r>
    </w:p>
    <w:p>
      <w:pPr>
        <w:jc w:val="both"/>
        <w:rPr>
          <w:rFonts w:hint="default"/>
          <w:b w:val="0"/>
          <w:bCs w:val="0"/>
          <w:lang w:val="en-US"/>
        </w:rPr>
      </w:pPr>
      <w:r>
        <w:rPr>
          <w:rFonts w:hint="default"/>
          <w:b w:val="0"/>
          <w:bCs w:val="0"/>
          <w:lang w:val="en-US"/>
        </w:rPr>
        <w:t>SPO2 88% under RA</w:t>
      </w:r>
    </w:p>
    <w:p>
      <w:pPr>
        <w:jc w:val="both"/>
        <w:rPr>
          <w:rFonts w:hint="default"/>
          <w:b w:val="0"/>
          <w:bCs w:val="0"/>
          <w:lang w:val="en-US"/>
        </w:rPr>
      </w:pPr>
      <w:r>
        <w:rPr>
          <w:rFonts w:hint="default"/>
          <w:b w:val="0"/>
          <w:bCs w:val="0"/>
          <w:lang w:val="en-US"/>
        </w:rPr>
        <w:t>RR 20</w:t>
      </w:r>
    </w:p>
    <w:p>
      <w:pPr>
        <w:jc w:val="both"/>
        <w:rPr>
          <w:rFonts w:hint="default"/>
          <w:b w:val="0"/>
          <w:bCs w:val="0"/>
          <w:lang w:val="en-US"/>
        </w:rPr>
      </w:pPr>
      <w:r>
        <w:rPr>
          <w:rFonts w:hint="default"/>
          <w:b w:val="0"/>
          <w:bCs w:val="0"/>
          <w:lang w:val="en-US"/>
        </w:rPr>
        <w:t>He was cyanosed over the lips and peripheries.</w:t>
      </w:r>
    </w:p>
    <w:p>
      <w:pPr>
        <w:jc w:val="both"/>
        <w:rPr>
          <w:rFonts w:hint="default"/>
          <w:b w:val="0"/>
          <w:bCs w:val="0"/>
          <w:lang w:val="en-US"/>
        </w:rPr>
      </w:pPr>
    </w:p>
    <w:p>
      <w:pPr>
        <w:jc w:val="both"/>
        <w:rPr>
          <w:rFonts w:hint="default"/>
          <w:b w:val="0"/>
          <w:bCs w:val="0"/>
          <w:lang w:val="en-US"/>
        </w:rPr>
      </w:pPr>
      <w:r>
        <w:rPr>
          <w:rFonts w:hint="default"/>
          <w:b w:val="0"/>
          <w:bCs w:val="0"/>
          <w:lang w:val="en-US"/>
        </w:rPr>
        <w:t>ABG under HFM (High Flow Mask) 15L/min:</w:t>
      </w:r>
    </w:p>
    <w:p>
      <w:pPr>
        <w:jc w:val="both"/>
        <w:rPr>
          <w:rFonts w:hint="default"/>
          <w:b w:val="0"/>
          <w:bCs w:val="0"/>
          <w:lang w:val="en-US"/>
        </w:rPr>
      </w:pPr>
      <w:r>
        <w:rPr>
          <w:rFonts w:hint="default"/>
          <w:b w:val="0"/>
          <w:bCs w:val="0"/>
          <w:lang w:val="en-US"/>
        </w:rPr>
        <w:t>PH 7.487</w:t>
      </w:r>
    </w:p>
    <w:p>
      <w:pPr>
        <w:jc w:val="both"/>
        <w:rPr>
          <w:rFonts w:hint="default"/>
          <w:b w:val="0"/>
          <w:bCs w:val="0"/>
          <w:lang w:val="en-US"/>
        </w:rPr>
      </w:pPr>
      <w:r>
        <w:rPr>
          <w:rFonts w:hint="default"/>
          <w:b w:val="0"/>
          <w:bCs w:val="0"/>
          <w:lang w:val="en-US"/>
        </w:rPr>
        <w:t>PCO2 27</w:t>
      </w:r>
    </w:p>
    <w:p>
      <w:pPr>
        <w:jc w:val="both"/>
        <w:rPr>
          <w:rFonts w:hint="default"/>
          <w:b w:val="0"/>
          <w:bCs w:val="0"/>
          <w:lang w:val="en-US"/>
        </w:rPr>
      </w:pPr>
      <w:r>
        <w:rPr>
          <w:rFonts w:hint="default"/>
          <w:b w:val="0"/>
          <w:bCs w:val="0"/>
          <w:lang w:val="en-US"/>
        </w:rPr>
        <w:t>PO2 435.3</w:t>
      </w:r>
    </w:p>
    <w:p>
      <w:pPr>
        <w:jc w:val="both"/>
        <w:rPr>
          <w:rFonts w:hint="default"/>
          <w:b w:val="0"/>
          <w:bCs w:val="0"/>
          <w:lang w:val="en-US"/>
        </w:rPr>
      </w:pPr>
      <w:r>
        <w:rPr>
          <w:rFonts w:hint="default"/>
          <w:b w:val="0"/>
          <w:bCs w:val="0"/>
          <w:lang w:val="en-US"/>
        </w:rPr>
        <w:t>S02 96.7</w:t>
      </w:r>
    </w:p>
    <w:p>
      <w:pPr>
        <w:jc w:val="both"/>
        <w:rPr>
          <w:rFonts w:hint="default"/>
          <w:b w:val="0"/>
          <w:bCs w:val="0"/>
          <w:lang w:val="en-US"/>
        </w:rPr>
      </w:pPr>
      <w:r>
        <w:rPr>
          <w:rFonts w:hint="default"/>
          <w:b w:val="0"/>
          <w:bCs w:val="0"/>
          <w:lang w:val="en-US"/>
        </w:rPr>
        <w:t>LAC 1.7</w:t>
      </w:r>
    </w:p>
    <w:p>
      <w:pPr>
        <w:jc w:val="both"/>
        <w:rPr>
          <w:rFonts w:hint="default"/>
          <w:b w:val="0"/>
          <w:bCs w:val="0"/>
          <w:lang w:val="en-US"/>
        </w:rPr>
      </w:pPr>
      <w:r>
        <w:rPr>
          <w:rFonts w:hint="default"/>
          <w:b w:val="0"/>
          <w:bCs w:val="0"/>
          <w:lang w:val="en-US"/>
        </w:rPr>
        <w:t>HCO3 20.6</w:t>
      </w:r>
    </w:p>
    <w:p>
      <w:pPr>
        <w:jc w:val="both"/>
        <w:rPr>
          <w:rFonts w:hint="default"/>
          <w:b w:val="0"/>
          <w:bCs w:val="0"/>
          <w:lang w:val="en-US"/>
        </w:rPr>
      </w:pPr>
      <w:r>
        <w:rPr>
          <w:rFonts w:hint="default"/>
          <w:b w:val="0"/>
          <w:bCs w:val="0"/>
          <w:lang w:val="en-US"/>
        </w:rPr>
        <w:t>BE -3</w:t>
      </w:r>
    </w:p>
    <w:p>
      <w:pPr>
        <w:jc w:val="both"/>
        <w:rPr>
          <w:rFonts w:hint="default"/>
          <w:b w:val="0"/>
          <w:bCs w:val="0"/>
          <w:lang w:val="en-US"/>
        </w:rPr>
      </w:pPr>
    </w:p>
    <w:p>
      <w:pPr>
        <w:jc w:val="both"/>
        <w:rPr>
          <w:rFonts w:hint="default"/>
          <w:b w:val="0"/>
          <w:bCs w:val="0"/>
          <w:lang w:val="en-US"/>
        </w:rPr>
      </w:pPr>
      <w:r>
        <w:rPr>
          <w:rFonts w:hint="default"/>
          <w:b w:val="0"/>
          <w:bCs w:val="0"/>
          <w:lang w:val="en-US"/>
        </w:rPr>
        <w:t>SPO2 under High Flow Mask 15L/min did not exceed 90%.</w:t>
      </w:r>
    </w:p>
    <w:p>
      <w:pPr>
        <w:jc w:val="both"/>
        <w:rPr>
          <w:rFonts w:hint="default"/>
          <w:b w:val="0"/>
          <w:bCs w:val="0"/>
          <w:lang w:val="en-US"/>
        </w:rPr>
      </w:pPr>
      <w:r>
        <w:rPr>
          <w:rFonts w:hint="default"/>
          <w:b w:val="0"/>
          <w:bCs w:val="0"/>
          <w:lang w:val="en-US"/>
        </w:rPr>
        <w:t>He was then started on HFNC (High Flow Nasal Cannula) 60L/60%</w:t>
      </w:r>
    </w:p>
    <w:p>
      <w:pPr>
        <w:jc w:val="both"/>
        <w:rPr>
          <w:rFonts w:hint="default"/>
          <w:b w:val="0"/>
          <w:bCs w:val="0"/>
          <w:lang w:val="en-US"/>
        </w:rPr>
      </w:pPr>
    </w:p>
    <w:p>
      <w:pPr>
        <w:jc w:val="both"/>
        <w:rPr>
          <w:rFonts w:hint="default"/>
          <w:b w:val="0"/>
          <w:bCs w:val="0"/>
          <w:lang w:val="en-US"/>
        </w:rPr>
      </w:pPr>
      <w:r>
        <w:rPr>
          <w:rFonts w:hint="default"/>
          <w:b w:val="0"/>
          <w:bCs w:val="0"/>
          <w:lang w:val="en-US"/>
        </w:rPr>
        <w:t>ABG repeated under HFNC 60L/60%</w:t>
      </w:r>
    </w:p>
    <w:p>
      <w:pPr>
        <w:jc w:val="both"/>
        <w:rPr>
          <w:rFonts w:hint="default"/>
          <w:b w:val="0"/>
          <w:bCs w:val="0"/>
          <w:lang w:val="en-US"/>
        </w:rPr>
      </w:pPr>
      <w:r>
        <w:rPr>
          <w:rFonts w:hint="default"/>
          <w:b w:val="0"/>
          <w:bCs w:val="0"/>
          <w:lang w:val="en-US"/>
        </w:rPr>
        <w:t>PH 7.5</w:t>
      </w:r>
    </w:p>
    <w:p>
      <w:pPr>
        <w:jc w:val="both"/>
        <w:rPr>
          <w:rFonts w:hint="default"/>
          <w:b w:val="0"/>
          <w:bCs w:val="0"/>
          <w:lang w:val="en-US"/>
        </w:rPr>
      </w:pPr>
      <w:r>
        <w:rPr>
          <w:rFonts w:hint="default"/>
          <w:b w:val="0"/>
          <w:bCs w:val="0"/>
          <w:lang w:val="en-US"/>
        </w:rPr>
        <w:t>PCO2 26.3</w:t>
      </w:r>
    </w:p>
    <w:p>
      <w:pPr>
        <w:jc w:val="both"/>
        <w:rPr>
          <w:rFonts w:hint="default"/>
          <w:b w:val="0"/>
          <w:bCs w:val="0"/>
          <w:lang w:val="en-US"/>
        </w:rPr>
      </w:pPr>
      <w:r>
        <w:rPr>
          <w:rFonts w:hint="default"/>
          <w:b w:val="0"/>
          <w:bCs w:val="0"/>
          <w:lang w:val="en-US"/>
        </w:rPr>
        <w:t>PO2 255.1</w:t>
      </w:r>
    </w:p>
    <w:p>
      <w:pPr>
        <w:jc w:val="both"/>
        <w:rPr>
          <w:rFonts w:hint="default"/>
          <w:b w:val="0"/>
          <w:bCs w:val="0"/>
          <w:lang w:val="en-US"/>
        </w:rPr>
      </w:pPr>
      <w:r>
        <w:rPr>
          <w:rFonts w:hint="default"/>
          <w:b w:val="0"/>
          <w:bCs w:val="0"/>
          <w:lang w:val="en-US"/>
        </w:rPr>
        <w:t>MethB 14.3%</w:t>
      </w:r>
    </w:p>
    <w:p>
      <w:pPr>
        <w:jc w:val="both"/>
        <w:rPr>
          <w:rFonts w:hint="default"/>
          <w:b w:val="0"/>
          <w:bCs w:val="0"/>
          <w:lang w:val="en-US"/>
        </w:rPr>
      </w:pPr>
      <w:r>
        <w:rPr>
          <w:rFonts w:hint="default"/>
          <w:b w:val="0"/>
          <w:bCs w:val="0"/>
          <w:lang w:val="en-US"/>
        </w:rPr>
        <w:t>LAC 1</w:t>
      </w:r>
    </w:p>
    <w:p>
      <w:pPr>
        <w:jc w:val="both"/>
        <w:rPr>
          <w:rFonts w:hint="default"/>
          <w:b w:val="0"/>
          <w:bCs w:val="0"/>
          <w:lang w:val="en-US"/>
        </w:rPr>
      </w:pPr>
      <w:r>
        <w:rPr>
          <w:rFonts w:hint="default"/>
          <w:b w:val="0"/>
          <w:bCs w:val="0"/>
          <w:lang w:val="en-US"/>
        </w:rPr>
        <w:t>HCO3 20.7</w:t>
      </w:r>
    </w:p>
    <w:p>
      <w:pPr>
        <w:jc w:val="both"/>
        <w:rPr>
          <w:rFonts w:hint="default"/>
          <w:b w:val="0"/>
          <w:bCs w:val="0"/>
          <w:lang w:val="en-US"/>
        </w:rPr>
      </w:pPr>
      <w:r>
        <w:rPr>
          <w:rFonts w:hint="default"/>
          <w:b w:val="0"/>
          <w:bCs w:val="0"/>
          <w:lang w:val="en-US"/>
        </w:rPr>
        <w:t>BE-2.7</w:t>
      </w:r>
    </w:p>
    <w:p>
      <w:pPr>
        <w:jc w:val="both"/>
        <w:rPr>
          <w:rFonts w:hint="default"/>
          <w:b w:val="0"/>
          <w:bCs w:val="0"/>
          <w:lang w:val="en-US"/>
        </w:rPr>
      </w:pPr>
    </w:p>
    <w:p>
      <w:pPr>
        <w:jc w:val="both"/>
        <w:rPr>
          <w:rFonts w:hint="default"/>
          <w:b w:val="0"/>
          <w:bCs w:val="0"/>
          <w:lang w:val="en-US"/>
        </w:rPr>
      </w:pPr>
      <w:r>
        <w:rPr>
          <w:rFonts w:hint="default"/>
          <w:b w:val="0"/>
          <w:bCs w:val="0"/>
          <w:lang w:val="en-US"/>
        </w:rPr>
        <w:t>Despite the high level of HFNC setting, his saturation did not exceed 90%</w:t>
      </w:r>
    </w:p>
    <w:p>
      <w:pPr>
        <w:jc w:val="both"/>
        <w:rPr>
          <w:rFonts w:hint="default"/>
          <w:b/>
          <w:bCs/>
          <w:lang w:val="en-US"/>
        </w:rPr>
      </w:pPr>
    </w:p>
    <w:p>
      <w:pPr>
        <w:jc w:val="both"/>
        <w:rPr>
          <w:rFonts w:hint="default"/>
          <w:b/>
          <w:bCs/>
          <w:lang w:val="en-US"/>
        </w:rPr>
      </w:pPr>
      <w:r>
        <w:rPr>
          <w:rFonts w:hint="default"/>
          <w:b/>
          <w:bCs/>
          <w:lang w:val="en-US"/>
        </w:rPr>
        <w:t>Outcome:</w:t>
      </w:r>
    </w:p>
    <w:p>
      <w:pPr>
        <w:jc w:val="both"/>
        <w:rPr>
          <w:rFonts w:hint="default"/>
          <w:b w:val="0"/>
          <w:bCs w:val="0"/>
          <w:lang w:val="en-US"/>
        </w:rPr>
      </w:pPr>
      <w:r>
        <w:rPr>
          <w:rFonts w:hint="default"/>
          <w:b w:val="0"/>
          <w:bCs w:val="0"/>
          <w:lang w:val="en-US"/>
        </w:rPr>
        <w:t>The patient was given IV Methylene Blue 1mg/kg over 30 mins. His peripheral cyanosis resolved after an hour. Methaemoglobin levels reduced from 14.3% to 4.6%.</w:t>
      </w:r>
    </w:p>
    <w:p>
      <w:pPr>
        <w:jc w:val="both"/>
        <w:rPr>
          <w:rFonts w:hint="default"/>
          <w:b w:val="0"/>
          <w:bCs w:val="0"/>
          <w:lang w:val="en-US"/>
        </w:rPr>
      </w:pPr>
      <w:r>
        <w:rPr>
          <w:rFonts w:hint="default"/>
          <w:b w:val="0"/>
          <w:bCs w:val="0"/>
          <w:lang w:val="en-US"/>
        </w:rPr>
        <w:t>His saturation increased to above 90% after which he was weaned off HFNC. He was admitted and eventually weaned off oxygen support.</w:t>
      </w:r>
    </w:p>
    <w:p>
      <w:pPr>
        <w:jc w:val="both"/>
        <w:rPr>
          <w:rFonts w:hint="default"/>
          <w:b w:val="0"/>
          <w:bCs w:val="0"/>
          <w:lang w:val="en-US"/>
        </w:rPr>
      </w:pPr>
    </w:p>
    <w:p>
      <w:pPr>
        <w:jc w:val="both"/>
        <w:rPr>
          <w:rFonts w:hint="default"/>
          <w:b w:val="0"/>
          <w:bCs w:val="0"/>
          <w:lang w:val="en-US"/>
        </w:rPr>
      </w:pPr>
    </w:p>
    <w:p>
      <w:pPr>
        <w:jc w:val="both"/>
        <w:rPr>
          <w:rFonts w:hint="default"/>
          <w:b/>
          <w:bCs/>
          <w:lang w:val="en-US"/>
        </w:rPr>
      </w:pPr>
      <w:r>
        <w:rPr>
          <w:rFonts w:hint="default"/>
          <w:b/>
          <w:bCs/>
          <w:lang w:val="en-US"/>
        </w:rPr>
        <w:t>Conclusion:</w:t>
      </w:r>
    </w:p>
    <w:p>
      <w:pPr>
        <w:jc w:val="both"/>
        <w:rPr>
          <w:rFonts w:hint="default"/>
          <w:b w:val="0"/>
          <w:bCs w:val="0"/>
          <w:lang w:val="en-US"/>
        </w:rPr>
      </w:pPr>
      <w:r>
        <w:rPr>
          <w:rFonts w:hint="default"/>
          <w:b w:val="0"/>
          <w:bCs w:val="0"/>
          <w:lang w:val="en-US"/>
        </w:rPr>
        <w:t>Methaemoglobinemia rarely presents in the emergency room but should appear in mind when encountering this classic phenomenon of a cyanosed patient with a huge difference between their saturation and pO2 on blood gas. It is imperative to note the drugs potentially causing methaemoglobinemia as we can anticipate the populations in which this disease can present. Prompt recognition of this entity is truly life-saving.</w:t>
      </w:r>
      <w:bookmarkEnd w:id="0"/>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宋体-简"/>
    <w:panose1 w:val="00000000000000000000"/>
    <w:charset w:val="86"/>
    <w:family w:val="auto"/>
    <w:pitch w:val="default"/>
    <w:sig w:usb0="00000000" w:usb1="00000000" w:usb2="00000000" w:usb3="00000000" w:csb0="00000000" w:csb1="00000000"/>
  </w:font>
  <w:font w:name="宋体-简">
    <w:panose1 w:val="02010600040101010101"/>
    <w:charset w:val="86"/>
    <w:family w:val="auto"/>
    <w:pitch w:val="default"/>
    <w:sig w:usb0="00000000" w:usb1="00000000" w:usb2="00000000" w:usb3="00000000" w:csb0="00160000" w:csb1="00000000"/>
  </w:font>
  <w:font w:name="Arial">
    <w:panose1 w:val="020B0604020202020204"/>
    <w:charset w:val="00"/>
    <w:family w:val="swiss"/>
    <w:pitch w:val="default"/>
    <w:sig w:usb0="00000000" w:usb1="00000000" w:usb2="00000000" w:usb3="00000000" w:csb0="00000000" w:csb1="00000000"/>
  </w:font>
  <w:font w:name="黑体">
    <w:altName w:val="黑体-简"/>
    <w:panose1 w:val="02010600030101010101"/>
    <w:charset w:val="00"/>
    <w:family w:val="auto"/>
    <w:pitch w:val="default"/>
    <w:sig w:usb0="00000001" w:usb1="080E0000" w:usb2="00000010" w:usb3="00000000" w:csb0="00040000" w:csb1="00000000"/>
  </w:font>
  <w:font w:name="黑体-简">
    <w:panose1 w:val="02000000000000000000"/>
    <w:charset w:val="86"/>
    <w:family w:val="auto"/>
    <w:pitch w:val="default"/>
    <w:sig w:usb0="00000000" w:usb1="00000000" w:usb2="00000000" w:usb3="00000000" w:csb0="00160000" w:csb1="00000000"/>
  </w:font>
  <w:font w:name="Courier New">
    <w:panose1 w:val="02070309020205020404"/>
    <w:charset w:val="00"/>
    <w:family w:val="modern"/>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0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SimSun">
    <w:altName w:val="宋体-简"/>
    <w:panose1 w:val="02010600030101010101"/>
    <w:charset w:val="86"/>
    <w:family w:val="auto"/>
    <w:pitch w:val="default"/>
    <w:sig w:usb0="00000000" w:usb1="0000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7"/>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AB2F06"/>
    <w:rsid w:val="2FB12CD8"/>
    <w:rsid w:val="5DAB2F06"/>
    <w:rsid w:val="7CE74C2E"/>
    <w:rsid w:val="B6676415"/>
    <w:rsid w:val="B77BD222"/>
    <w:rsid w:val="E8FF8BB2"/>
    <w:rsid w:val="EDA5C8DF"/>
    <w:rsid w:val="EDCF6219"/>
    <w:rsid w:val="EF776D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357</TotalTime>
  <ScaleCrop>false</ScaleCrop>
  <LinksUpToDate>false</LinksUpToDate>
  <CharactersWithSpaces>0</CharactersWithSpaces>
  <Application>WPS Office_4.9.0.7859_F1E327BC-269C-435d-A152-05C5408002CA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2024-05-07T19:26:00Z</dcterms:created>
  <dc:creator>joeandjoanne</dc:creator>
  <cp:lastModifiedBy>Joanne Sue</cp:lastModifiedBy>
  <dcterms:modified xsi:type="dcterms:W3CDTF">2024-05-27T12:02:51Z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1033-4.9.0.7859</vt:lpwstr>
  </property>
</Properties>
</file>