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 Regular" w:hAnsi="Times New Roman Regular" w:cs="Times New Roman Regular"/>
          <w:b/>
          <w:bCs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>I’m Having A Brain Attack! : A case report on an ischemic stroke post thrombolysis for myocardial infarction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/>
          <w:bCs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>Authors: Joanne Sue James; Devarani A/P M Valusamy</w:t>
      </w:r>
    </w:p>
    <w:p>
      <w:pPr>
        <w:jc w:val="left"/>
        <w:rPr>
          <w:rFonts w:hint="default" w:ascii="Times New Roman Regular" w:hAnsi="Times New Roman Regular" w:cs="Times New Roman Regular"/>
          <w:b/>
          <w:bCs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 xml:space="preserve">                Hospital Sultan Idris Shah, Serdang; Ministry of Health</w:t>
      </w:r>
    </w:p>
    <w:p>
      <w:pPr>
        <w:jc w:val="left"/>
        <w:rPr>
          <w:rFonts w:hint="default" w:ascii="Times New Roman Regular" w:hAnsi="Times New Roman Regular" w:cs="Times New Roman Regular"/>
          <w:b/>
          <w:bCs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/>
          <w:bCs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>Keywords: myocardial infarction; stroke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 xml:space="preserve">Introduction: </w:t>
      </w:r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>When initiating thrombolytic reperfusion therapies for patients that present with myocardial infarction, some of the major adverse effects we take note of is the risk of intracranial haemorrhages; that will manifest as stroke-like symptoms post thrombolysis. How often do we encounter ischaemic strokes post thrombolysis? And is thrombolytic therapy to be blamed for the development of such events?</w:t>
      </w: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 xml:space="preserve">Description: </w:t>
      </w:r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>We present a case of a 49 year old Malay gentleman with no known comorbidities, presenting with severe central chest pain. The electrocardiograph (ECG) shows ST Elevation over V1-V6, I, AVL. A bedside Echocardiogram (ECHO) demonstrates ; hypokinesia over anterior, septal and lateral walls.</w:t>
      </w: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>Aortic root is not enlarged and there is no pericardial effussion.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He was diagnosed as acute extensive anterolateral myocardial infarction(MI). He was treated with IV Tenecteplase, resulting in succesful thrombolysis; with the ECG post thrombolysis demonstrating resolution of ST Elevation over the involved leads and improvement in the patient’s chest pain.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 xml:space="preserve">Outcome: </w:t>
      </w:r>
      <w:r>
        <w:rPr>
          <w:rFonts w:hint="default" w:ascii="Times New Roman Regular" w:hAnsi="Times New Roman Regular" w:cs="Times New Roman Regular"/>
          <w:lang w:val="en-US"/>
        </w:rPr>
        <w:t>4 hours post thrombolysis, he complained of slurred speech. CT Brain done immediately shows no acute infarcts or intracranial haemorrhages.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He was then admitted, after which he complained of loss of nasolabial fold and expressive aphasia.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CT brain was repeated, demonstrating an acute left fronto-parietal-temporal infarct.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A formal ECHO was then performed, explaining the manifestation of the cerebrovascular event: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There are regional wall motion abnormalities as specified but in addition to that, a thrombus seen at LV(Left ventricle) apical wall 1.2cm, and second 0.95cm thrombus oscillating at LV lateral wall.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 xml:space="preserve">Conclusion: </w:t>
      </w:r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 xml:space="preserve">In a study done, 1% of patients with anterior MI that underwent fibrinolysis developed ischaemic stroke. This is due to the LV thrombus formation as a consequence of anterior MI. Bedside transthoracic echocardiogram or transesophageal echocardiogram is a usefool tool in aiding diagnosis. In the same study, when an acute myocardial infarction was just treated with aspirin and streptokinase, </w:t>
      </w:r>
      <w:bookmarkStart w:id="0" w:name="_GoBack"/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 xml:space="preserve">there was no difference in the LV thrombus formation rate, but when a low molecular weight heparin is </w:t>
      </w:r>
      <w:bookmarkEnd w:id="0"/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>added into the treatment, it significantly reduces the formation of the LV thrombus and hence a cardioembolic event.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</w:p>
    <w:p>
      <w:pPr>
        <w:jc w:val="left"/>
        <w:rPr>
          <w:rFonts w:hint="default" w:ascii="Times New Roman Regular" w:hAnsi="Times New Roman Regular" w:cs="Times New Roman Regular"/>
          <w:b w:val="0"/>
          <w:bCs w:val="0"/>
          <w:lang w:val="en-US"/>
        </w:rPr>
      </w:pPr>
    </w:p>
    <w:p>
      <w:pPr>
        <w:jc w:val="both"/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B6E5A"/>
    <w:rsid w:val="2BDFAE3D"/>
    <w:rsid w:val="5EFFDFA3"/>
    <w:rsid w:val="BBFF09CD"/>
    <w:rsid w:val="CF7708A6"/>
    <w:rsid w:val="F6F4B3E2"/>
    <w:rsid w:val="FED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2024-05-16T18:36:00Z</dcterms:created>
  <dc:creator>Joanne Sue</dc:creator>
  <cp:lastModifiedBy>Joanne Sue</cp:lastModifiedBy>
  <dcterms:modified xsi:type="dcterms:W3CDTF">2024-05-28T22:03:06Z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