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879C4" w14:textId="6F81A87A" w:rsidR="00E1167C" w:rsidRPr="00535C3A" w:rsidRDefault="009B4C9F" w:rsidP="00004114">
      <w:pPr>
        <w:pStyle w:val="BodyTextIndent"/>
        <w:jc w:val="both"/>
      </w:pPr>
      <w:r w:rsidRPr="00535C3A">
        <w:t xml:space="preserve">Title: Incidence and Predictors of Early Mortality in the Emergency Department Following STEMI Thrombolysis </w:t>
      </w:r>
      <w:proofErr w:type="gramStart"/>
      <w:r w:rsidR="00A63B59" w:rsidRPr="00535C3A">
        <w:t>a</w:t>
      </w:r>
      <w:r w:rsidRPr="00535C3A">
        <w:t xml:space="preserve">n </w:t>
      </w:r>
      <w:r w:rsidR="00A63B59" w:rsidRPr="00535C3A">
        <w:t>a</w:t>
      </w:r>
      <w:proofErr w:type="gramEnd"/>
      <w:r w:rsidRPr="00535C3A">
        <w:t xml:space="preserve"> Non-P</w:t>
      </w:r>
      <w:r w:rsidR="00A63B59" w:rsidRPr="00535C3A">
        <w:t>CI</w:t>
      </w:r>
      <w:r w:rsidRPr="00535C3A">
        <w:t>-Capable Tertiary Hospital</w:t>
      </w:r>
    </w:p>
    <w:p w14:paraId="6F90A21C" w14:textId="77777777" w:rsidR="00535C3A" w:rsidRPr="00535C3A" w:rsidRDefault="00535C3A" w:rsidP="00004114">
      <w:pPr>
        <w:pStyle w:val="BodyTextIndent"/>
        <w:jc w:val="both"/>
      </w:pPr>
    </w:p>
    <w:p w14:paraId="38381B5B" w14:textId="1900A7C3" w:rsidR="00535C3A" w:rsidRDefault="000921DC" w:rsidP="000921DC">
      <w:pPr>
        <w:pStyle w:val="BodyTextIndent"/>
        <w:jc w:val="center"/>
        <w:rPr>
          <w:b w:val="0"/>
          <w:bCs w:val="0"/>
        </w:rPr>
      </w:pPr>
      <w:r>
        <w:rPr>
          <w:b w:val="0"/>
          <w:bCs w:val="0"/>
        </w:rPr>
        <w:t>Hock Peng Koh</w:t>
      </w:r>
      <w:r w:rsidRPr="000921DC">
        <w:rPr>
          <w:b w:val="0"/>
          <w:bCs w:val="0"/>
          <w:vertAlign w:val="superscript"/>
        </w:rPr>
        <w:t>1</w:t>
      </w:r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Hasnita</w:t>
      </w:r>
      <w:proofErr w:type="spellEnd"/>
      <w:r>
        <w:rPr>
          <w:b w:val="0"/>
          <w:bCs w:val="0"/>
        </w:rPr>
        <w:t xml:space="preserve"> Hassan</w:t>
      </w:r>
      <w:r w:rsidRPr="000921DC"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>, Jivanraj R Nagarajah</w:t>
      </w:r>
      <w:r w:rsidRPr="000921DC">
        <w:rPr>
          <w:b w:val="0"/>
          <w:bCs w:val="0"/>
          <w:vertAlign w:val="superscript"/>
        </w:rPr>
        <w:t>1</w:t>
      </w:r>
      <w:r>
        <w:rPr>
          <w:b w:val="0"/>
          <w:bCs w:val="0"/>
        </w:rPr>
        <w:t>, Noel Thomas Ross</w:t>
      </w:r>
      <w:r w:rsidRPr="000921DC">
        <w:rPr>
          <w:b w:val="0"/>
          <w:bCs w:val="0"/>
          <w:vertAlign w:val="superscript"/>
        </w:rPr>
        <w:t>3</w:t>
      </w:r>
    </w:p>
    <w:p w14:paraId="09F96D2E" w14:textId="77777777" w:rsidR="000921DC" w:rsidRDefault="000921DC" w:rsidP="000921DC">
      <w:pPr>
        <w:pStyle w:val="BodyTextIndent"/>
        <w:jc w:val="center"/>
        <w:rPr>
          <w:b w:val="0"/>
          <w:bCs w:val="0"/>
        </w:rPr>
      </w:pPr>
    </w:p>
    <w:p w14:paraId="289B9E65" w14:textId="49309571" w:rsidR="000921DC" w:rsidRDefault="000921DC" w:rsidP="000921DC">
      <w:pPr>
        <w:pStyle w:val="BodyTextIndent"/>
        <w:jc w:val="center"/>
        <w:rPr>
          <w:b w:val="0"/>
          <w:bCs w:val="0"/>
        </w:rPr>
      </w:pPr>
      <w:r w:rsidRPr="000921DC">
        <w:rPr>
          <w:b w:val="0"/>
          <w:bCs w:val="0"/>
          <w:vertAlign w:val="superscript"/>
        </w:rPr>
        <w:t>1</w:t>
      </w:r>
      <w:r>
        <w:rPr>
          <w:b w:val="0"/>
          <w:bCs w:val="0"/>
        </w:rPr>
        <w:t>Pharmacy Department, Hospital Kuala Lumpur, Kuala Lumpur, Malaysia</w:t>
      </w:r>
    </w:p>
    <w:p w14:paraId="3A3C3824" w14:textId="67E1F354" w:rsidR="000921DC" w:rsidRDefault="000921DC" w:rsidP="000921DC">
      <w:pPr>
        <w:pStyle w:val="BodyTextIndent"/>
        <w:jc w:val="center"/>
        <w:rPr>
          <w:b w:val="0"/>
          <w:bCs w:val="0"/>
        </w:rPr>
      </w:pPr>
      <w:r w:rsidRPr="000921DC"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>Emergency and Trauma Department, Hospital Kuala Lumpur, Kuala Lumpur, Malaysia</w:t>
      </w:r>
    </w:p>
    <w:p w14:paraId="0DAEA583" w14:textId="38FC9C9B" w:rsidR="000921DC" w:rsidRDefault="000921DC" w:rsidP="000921DC">
      <w:pPr>
        <w:pStyle w:val="BodyTextIndent"/>
        <w:jc w:val="center"/>
        <w:rPr>
          <w:b w:val="0"/>
          <w:bCs w:val="0"/>
        </w:rPr>
      </w:pPr>
      <w:r w:rsidRPr="000921DC">
        <w:rPr>
          <w:b w:val="0"/>
          <w:bCs w:val="0"/>
          <w:vertAlign w:val="superscript"/>
        </w:rPr>
        <w:t>3</w:t>
      </w:r>
      <w:r>
        <w:rPr>
          <w:b w:val="0"/>
          <w:bCs w:val="0"/>
        </w:rPr>
        <w:t>Medical Department, Hospital Kuala Lumpur, Kuala Lumpur, Malaysia</w:t>
      </w:r>
    </w:p>
    <w:p w14:paraId="1494C65D" w14:textId="77777777" w:rsidR="00535C3A" w:rsidRPr="00535C3A" w:rsidRDefault="00535C3A" w:rsidP="00004114">
      <w:pPr>
        <w:pStyle w:val="BodyTextIndent"/>
        <w:jc w:val="both"/>
        <w:rPr>
          <w:b w:val="0"/>
          <w:bCs w:val="0"/>
        </w:rPr>
      </w:pPr>
    </w:p>
    <w:p w14:paraId="4547AEB1" w14:textId="77777777" w:rsidR="00454070" w:rsidRPr="00535C3A" w:rsidRDefault="00454070" w:rsidP="007475D2"/>
    <w:tbl>
      <w:tblPr>
        <w:tblW w:w="8903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8903"/>
      </w:tblGrid>
      <w:tr w:rsidR="00454070" w:rsidRPr="00535C3A" w14:paraId="2B8EC237" w14:textId="77777777" w:rsidTr="003D2E92">
        <w:trPr>
          <w:trHeight w:hRule="exact" w:val="11726"/>
        </w:trPr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82F5" w14:textId="77777777" w:rsidR="005A32BC" w:rsidRPr="00535C3A" w:rsidRDefault="005A32BC" w:rsidP="00283748">
            <w:pPr>
              <w:jc w:val="both"/>
              <w:rPr>
                <w:b/>
                <w:bCs/>
              </w:rPr>
            </w:pPr>
            <w:r w:rsidRPr="00535C3A">
              <w:rPr>
                <w:b/>
                <w:bCs/>
              </w:rPr>
              <w:t>Introduction</w:t>
            </w:r>
            <w:r w:rsidR="00F37CCA" w:rsidRPr="00535C3A">
              <w:rPr>
                <w:b/>
                <w:bCs/>
              </w:rPr>
              <w:t xml:space="preserve"> </w:t>
            </w:r>
          </w:p>
          <w:p w14:paraId="5A38C09B" w14:textId="12EA6CB1" w:rsidR="00660E23" w:rsidRPr="00535C3A" w:rsidRDefault="00541DCD" w:rsidP="00283748">
            <w:pPr>
              <w:jc w:val="both"/>
            </w:pPr>
            <w:r w:rsidRPr="00535C3A">
              <w:t xml:space="preserve">Ischemic heart disease remains the principal cause of mortality despite the advancement of coronary reperfusion in the past 40 years. In ST-elevation myocardial infarction (STEMI), pharmacological thrombolysis remains the primary reperfusion strategy in many Asian countries due to the lack of percutaneous coronary intervention (PCI)-capable facilities. </w:t>
            </w:r>
            <w:r w:rsidR="0068350D" w:rsidRPr="00535C3A">
              <w:t>However, d</w:t>
            </w:r>
            <w:r w:rsidR="001E4E63" w:rsidRPr="00535C3A">
              <w:t>ata on early mortality in the Emergency Department (ED) following STEMI thrombolysis in non-</w:t>
            </w:r>
            <w:r w:rsidRPr="00535C3A">
              <w:t>PCI-</w:t>
            </w:r>
            <w:r w:rsidR="001E4E63" w:rsidRPr="00535C3A">
              <w:t>capable hospitals is unknown.</w:t>
            </w:r>
          </w:p>
          <w:p w14:paraId="0749D991" w14:textId="77777777" w:rsidR="001E4E63" w:rsidRPr="00535C3A" w:rsidRDefault="001E4E63" w:rsidP="00283748">
            <w:pPr>
              <w:jc w:val="both"/>
              <w:rPr>
                <w:b/>
                <w:bCs/>
              </w:rPr>
            </w:pPr>
          </w:p>
          <w:p w14:paraId="05DCEBC4" w14:textId="1255F94E" w:rsidR="00660E23" w:rsidRPr="00535C3A" w:rsidRDefault="00660E23" w:rsidP="00283748">
            <w:pPr>
              <w:jc w:val="both"/>
              <w:rPr>
                <w:b/>
                <w:bCs/>
              </w:rPr>
            </w:pPr>
            <w:r w:rsidRPr="00535C3A">
              <w:rPr>
                <w:b/>
                <w:bCs/>
              </w:rPr>
              <w:t>Objectives</w:t>
            </w:r>
          </w:p>
          <w:p w14:paraId="26821F22" w14:textId="2BF94696" w:rsidR="005A32BC" w:rsidRPr="00535C3A" w:rsidRDefault="001E4E63" w:rsidP="00283748">
            <w:pPr>
              <w:jc w:val="both"/>
            </w:pPr>
            <w:r w:rsidRPr="00535C3A">
              <w:t xml:space="preserve">This study aimed to assess the incidence and identify the predictors of early mortality in the ED following STEMI thrombolysis. </w:t>
            </w:r>
          </w:p>
          <w:p w14:paraId="7EB049D7" w14:textId="77777777" w:rsidR="001E4E63" w:rsidRPr="00535C3A" w:rsidRDefault="001E4E63" w:rsidP="00283748">
            <w:pPr>
              <w:jc w:val="both"/>
            </w:pPr>
          </w:p>
          <w:p w14:paraId="68F11678" w14:textId="77777777" w:rsidR="005A32BC" w:rsidRPr="00535C3A" w:rsidRDefault="005A32BC" w:rsidP="00283748">
            <w:pPr>
              <w:jc w:val="both"/>
              <w:rPr>
                <w:b/>
                <w:bCs/>
              </w:rPr>
            </w:pPr>
            <w:r w:rsidRPr="00535C3A">
              <w:rPr>
                <w:b/>
                <w:bCs/>
              </w:rPr>
              <w:t>Method</w:t>
            </w:r>
          </w:p>
          <w:p w14:paraId="7F681035" w14:textId="52212F8B" w:rsidR="00D540B9" w:rsidRPr="00535C3A" w:rsidRDefault="001E4E63" w:rsidP="00283748">
            <w:pPr>
              <w:jc w:val="both"/>
            </w:pPr>
            <w:r w:rsidRPr="00535C3A">
              <w:t>This single-center retrospective study involved STEMI patients given thrombolytic therapy from 2016 to 2020 in a tertiary hospital.</w:t>
            </w:r>
            <w:r w:rsidR="0007231C">
              <w:t xml:space="preserve"> Early mortality in the ED was defined as mortality that occurred in the ED after thrombolysis.</w:t>
            </w:r>
            <w:r w:rsidRPr="00535C3A">
              <w:t xml:space="preserve"> Total population sampling was used in this study. Logistic regression analyses were used to assess independent predictors of early mortality in the ED. </w:t>
            </w:r>
          </w:p>
          <w:p w14:paraId="1C6A5B4D" w14:textId="77777777" w:rsidR="001E4E63" w:rsidRPr="00535C3A" w:rsidRDefault="001E4E63" w:rsidP="00283748">
            <w:pPr>
              <w:jc w:val="both"/>
            </w:pPr>
          </w:p>
          <w:p w14:paraId="2F9C1A6D" w14:textId="77777777" w:rsidR="005A32BC" w:rsidRPr="00535C3A" w:rsidRDefault="005A32BC" w:rsidP="00283748">
            <w:pPr>
              <w:jc w:val="both"/>
              <w:rPr>
                <w:b/>
                <w:bCs/>
              </w:rPr>
            </w:pPr>
            <w:r w:rsidRPr="00535C3A">
              <w:rPr>
                <w:b/>
                <w:bCs/>
              </w:rPr>
              <w:t>Results</w:t>
            </w:r>
          </w:p>
          <w:p w14:paraId="78EDBE88" w14:textId="69F1DEB6" w:rsidR="001849B6" w:rsidRPr="00535C3A" w:rsidRDefault="001E4E63" w:rsidP="00283748">
            <w:pPr>
              <w:jc w:val="both"/>
            </w:pPr>
            <w:r w:rsidRPr="00535C3A">
              <w:t xml:space="preserve">Data from 941 patients was </w:t>
            </w:r>
            <w:proofErr w:type="spellStart"/>
            <w:r w:rsidRPr="00535C3A">
              <w:t>analysed</w:t>
            </w:r>
            <w:proofErr w:type="spellEnd"/>
            <w:r w:rsidRPr="00535C3A">
              <w:t>. Their mean age was 53.0±12.2 years and predominantly male (n=846, 89.9%). The in-hospital mortality was 10.3% (n=97), with almost half (n=47, 48.5%) occurred in ED. The final multi-model found seven predictors for early mortality in ED: age ≥75 (</w:t>
            </w:r>
            <w:proofErr w:type="spellStart"/>
            <w:r w:rsidRPr="00535C3A">
              <w:t>aOR</w:t>
            </w:r>
            <w:proofErr w:type="spellEnd"/>
            <w:r w:rsidRPr="00535C3A">
              <w:t xml:space="preserve"> 4.474, </w:t>
            </w:r>
            <w:r w:rsidR="00CB396C">
              <w:t xml:space="preserve">95% CI 1.794–11.158, </w:t>
            </w:r>
            <w:r w:rsidRPr="00535C3A">
              <w:t>p=0.001), female gender (</w:t>
            </w:r>
            <w:proofErr w:type="spellStart"/>
            <w:r w:rsidRPr="00535C3A">
              <w:t>aOR</w:t>
            </w:r>
            <w:proofErr w:type="spellEnd"/>
            <w:r w:rsidRPr="00535C3A">
              <w:t xml:space="preserve"> 3.059,</w:t>
            </w:r>
            <w:r w:rsidR="00CB396C">
              <w:t xml:space="preserve"> 95% CI 1.462–6.400,</w:t>
            </w:r>
            <w:r w:rsidRPr="00535C3A">
              <w:t xml:space="preserve"> p=0.003), pre-existing hypertension (</w:t>
            </w:r>
            <w:proofErr w:type="spellStart"/>
            <w:r w:rsidRPr="00535C3A">
              <w:t>aOR</w:t>
            </w:r>
            <w:proofErr w:type="spellEnd"/>
            <w:r w:rsidRPr="00535C3A">
              <w:t xml:space="preserve"> 2.105,</w:t>
            </w:r>
            <w:r w:rsidR="00CB396C">
              <w:t xml:space="preserve"> 95% CI 1.074–4.126,</w:t>
            </w:r>
            <w:r w:rsidRPr="00535C3A">
              <w:t xml:space="preserve"> p=0.030), ischemic heart disease (</w:t>
            </w:r>
            <w:proofErr w:type="spellStart"/>
            <w:r w:rsidRPr="00535C3A">
              <w:t>aOR</w:t>
            </w:r>
            <w:proofErr w:type="spellEnd"/>
            <w:r w:rsidRPr="00535C3A">
              <w:t xml:space="preserve"> 0.316,</w:t>
            </w:r>
            <w:r w:rsidR="00CB396C">
              <w:t xml:space="preserve"> 95% CI 0.104–0.963,</w:t>
            </w:r>
            <w:r w:rsidRPr="00535C3A">
              <w:t xml:space="preserve"> p=0.043), Killip class ≥2 (</w:t>
            </w:r>
            <w:proofErr w:type="spellStart"/>
            <w:r w:rsidRPr="00535C3A">
              <w:t>aOR</w:t>
            </w:r>
            <w:proofErr w:type="spellEnd"/>
            <w:r w:rsidRPr="00535C3A">
              <w:t xml:space="preserve"> 2.252,</w:t>
            </w:r>
            <w:r w:rsidR="00CB396C">
              <w:t xml:space="preserve"> 95% CI 1.070–4.470)</w:t>
            </w:r>
            <w:r w:rsidRPr="00535C3A">
              <w:t xml:space="preserve"> p=0.033), systolic blood pressure &lt;100 mmHg at presentation (</w:t>
            </w:r>
            <w:proofErr w:type="spellStart"/>
            <w:r w:rsidRPr="00535C3A">
              <w:t>aOR</w:t>
            </w:r>
            <w:proofErr w:type="spellEnd"/>
            <w:r w:rsidRPr="00535C3A">
              <w:t xml:space="preserve"> 3.365,</w:t>
            </w:r>
            <w:r w:rsidR="00CB396C">
              <w:t xml:space="preserve"> 1.515–7.743,</w:t>
            </w:r>
            <w:r w:rsidRPr="00535C3A">
              <w:t xml:space="preserve"> p=0.003), and</w:t>
            </w:r>
            <w:r w:rsidR="003C3400">
              <w:t xml:space="preserve"> presentation during</w:t>
            </w:r>
            <w:r w:rsidRPr="00535C3A">
              <w:t xml:space="preserve"> COVID-19 pandemic (</w:t>
            </w:r>
            <w:proofErr w:type="spellStart"/>
            <w:r w:rsidRPr="00535C3A">
              <w:t>aOR</w:t>
            </w:r>
            <w:proofErr w:type="spellEnd"/>
            <w:r w:rsidRPr="00535C3A">
              <w:t xml:space="preserve"> 2.404, </w:t>
            </w:r>
            <w:r w:rsidR="00610024">
              <w:t xml:space="preserve">95% CI 1.199–4.822, </w:t>
            </w:r>
            <w:r w:rsidRPr="00535C3A">
              <w:t>p=0.014). Following thrombolytic therapy, two predictors found to affect early mortality were failed fibrinolysis (</w:t>
            </w:r>
            <w:proofErr w:type="spellStart"/>
            <w:r w:rsidRPr="00535C3A">
              <w:t>aOR</w:t>
            </w:r>
            <w:proofErr w:type="spellEnd"/>
            <w:r w:rsidRPr="00535C3A">
              <w:t xml:space="preserve"> 3.147, p=0.004) and ventricular fibrillation/tachycardia (</w:t>
            </w:r>
            <w:proofErr w:type="spellStart"/>
            <w:r w:rsidRPr="00535C3A">
              <w:t>aOR</w:t>
            </w:r>
            <w:proofErr w:type="spellEnd"/>
            <w:r w:rsidRPr="00535C3A">
              <w:t xml:space="preserve"> 10.312, p&lt;0.001). </w:t>
            </w:r>
          </w:p>
          <w:p w14:paraId="516273E6" w14:textId="77777777" w:rsidR="001E4E63" w:rsidRPr="00535C3A" w:rsidRDefault="001E4E63" w:rsidP="00283748">
            <w:pPr>
              <w:jc w:val="both"/>
              <w:rPr>
                <w:b/>
                <w:bCs/>
              </w:rPr>
            </w:pPr>
          </w:p>
          <w:p w14:paraId="75D24AB3" w14:textId="05BB2E59" w:rsidR="005A32BC" w:rsidRPr="00535C3A" w:rsidRDefault="005A32BC" w:rsidP="00283748">
            <w:pPr>
              <w:jc w:val="both"/>
              <w:rPr>
                <w:b/>
                <w:bCs/>
              </w:rPr>
            </w:pPr>
            <w:r w:rsidRPr="00535C3A">
              <w:rPr>
                <w:b/>
                <w:bCs/>
              </w:rPr>
              <w:t>Conclusion</w:t>
            </w:r>
          </w:p>
          <w:p w14:paraId="4D0A0B92" w14:textId="71F1A553" w:rsidR="001849B6" w:rsidRPr="00535C3A" w:rsidRDefault="001E4E63" w:rsidP="00283748">
            <w:pPr>
              <w:jc w:val="both"/>
            </w:pPr>
            <w:r w:rsidRPr="00535C3A">
              <w:t xml:space="preserve">Early mortality in ED following STEMI thrombolysis was high. STEMI patients should be </w:t>
            </w:r>
            <w:proofErr w:type="spellStart"/>
            <w:r w:rsidRPr="00535C3A">
              <w:t>warded</w:t>
            </w:r>
            <w:proofErr w:type="spellEnd"/>
            <w:r w:rsidRPr="00535C3A">
              <w:t xml:space="preserve"> to cardiac care unit early as the provision of comprehensive cardiac care can be challenging due to ED’s busy nature. The above-identified predictors of early STEMI mortality in ED allow clinicians to identify and manage high-risk STEMI patients better.</w:t>
            </w:r>
          </w:p>
          <w:p w14:paraId="2E9B5ED0" w14:textId="77777777" w:rsidR="001E4E63" w:rsidRPr="00535C3A" w:rsidRDefault="001E4E63">
            <w:pPr>
              <w:rPr>
                <w:szCs w:val="32"/>
              </w:rPr>
            </w:pPr>
          </w:p>
          <w:p w14:paraId="1223A5F1" w14:textId="77777777" w:rsidR="00454070" w:rsidRPr="00535C3A" w:rsidRDefault="00004114">
            <w:pPr>
              <w:rPr>
                <w:b/>
                <w:bCs/>
                <w:szCs w:val="32"/>
              </w:rPr>
            </w:pPr>
            <w:r w:rsidRPr="00535C3A">
              <w:rPr>
                <w:b/>
                <w:bCs/>
                <w:szCs w:val="32"/>
              </w:rPr>
              <w:t xml:space="preserve">Keywords: </w:t>
            </w:r>
          </w:p>
          <w:p w14:paraId="48F08751" w14:textId="4D18D1EA" w:rsidR="00035B28" w:rsidRDefault="00B743AA">
            <w:pPr>
              <w:rPr>
                <w:szCs w:val="32"/>
              </w:rPr>
            </w:pPr>
            <w:r w:rsidRPr="00535C3A">
              <w:rPr>
                <w:szCs w:val="32"/>
              </w:rPr>
              <w:t>STEMI thrombolysis; Emergency Department; thrombolytic agent</w:t>
            </w:r>
          </w:p>
          <w:p w14:paraId="7155C334" w14:textId="77777777" w:rsidR="003D2E92" w:rsidRDefault="003D2E92">
            <w:pPr>
              <w:rPr>
                <w:szCs w:val="32"/>
              </w:rPr>
            </w:pPr>
          </w:p>
          <w:p w14:paraId="4EB78AF3" w14:textId="6C27CC7C" w:rsidR="003D2E92" w:rsidRPr="00535C3A" w:rsidRDefault="003D2E92">
            <w:pPr>
              <w:rPr>
                <w:szCs w:val="32"/>
              </w:rPr>
            </w:pPr>
            <w:r>
              <w:rPr>
                <w:szCs w:val="32"/>
              </w:rPr>
              <w:t xml:space="preserve">Word counts = 334 words </w:t>
            </w:r>
          </w:p>
          <w:p w14:paraId="39F32DBD" w14:textId="77777777" w:rsidR="008343BD" w:rsidRPr="00535C3A" w:rsidRDefault="008343BD">
            <w:pPr>
              <w:rPr>
                <w:szCs w:val="32"/>
              </w:rPr>
            </w:pPr>
          </w:p>
          <w:p w14:paraId="4BC6FAC2" w14:textId="159522CF" w:rsidR="008343BD" w:rsidRPr="00535C3A" w:rsidRDefault="008343BD">
            <w:pPr>
              <w:rPr>
                <w:szCs w:val="32"/>
              </w:rPr>
            </w:pPr>
            <w:r w:rsidRPr="00535C3A">
              <w:rPr>
                <w:szCs w:val="32"/>
              </w:rPr>
              <w:t xml:space="preserve">Word count: </w:t>
            </w:r>
            <w:r w:rsidR="00CB31BA" w:rsidRPr="00535C3A">
              <w:rPr>
                <w:szCs w:val="32"/>
              </w:rPr>
              <w:t>2</w:t>
            </w:r>
            <w:r w:rsidR="00CA24B0" w:rsidRPr="00535C3A">
              <w:rPr>
                <w:szCs w:val="32"/>
              </w:rPr>
              <w:t>90</w:t>
            </w:r>
          </w:p>
        </w:tc>
      </w:tr>
    </w:tbl>
    <w:p w14:paraId="1EBD7460" w14:textId="77777777" w:rsidR="00454070" w:rsidRPr="00535C3A" w:rsidRDefault="00454070">
      <w:pPr>
        <w:rPr>
          <w:sz w:val="32"/>
          <w:szCs w:val="32"/>
        </w:rPr>
      </w:pPr>
    </w:p>
    <w:p w14:paraId="652649C9" w14:textId="77777777" w:rsidR="00454070" w:rsidRDefault="00454070">
      <w:pPr>
        <w:rPr>
          <w:sz w:val="32"/>
          <w:szCs w:val="32"/>
        </w:rPr>
      </w:pPr>
    </w:p>
    <w:p w14:paraId="2B7885CF" w14:textId="77777777" w:rsidR="00BA5C7C" w:rsidRDefault="00BA5C7C">
      <w:pPr>
        <w:rPr>
          <w:sz w:val="32"/>
          <w:szCs w:val="32"/>
        </w:rPr>
      </w:pPr>
    </w:p>
    <w:p w14:paraId="4ED67BC2" w14:textId="77777777" w:rsidR="00BA5C7C" w:rsidRDefault="00BA5C7C">
      <w:pPr>
        <w:rPr>
          <w:sz w:val="32"/>
          <w:szCs w:val="32"/>
        </w:rPr>
      </w:pPr>
    </w:p>
    <w:p w14:paraId="54F8F95E" w14:textId="77777777" w:rsidR="0062188F" w:rsidRDefault="0062188F">
      <w:pPr>
        <w:rPr>
          <w:sz w:val="32"/>
          <w:szCs w:val="32"/>
        </w:rPr>
      </w:pPr>
    </w:p>
    <w:p w14:paraId="39B06025" w14:textId="33D38744" w:rsidR="00BA5C7C" w:rsidRPr="00926922" w:rsidRDefault="006F7A80">
      <w:pPr>
        <w:rPr>
          <w:b/>
          <w:bCs/>
        </w:rPr>
      </w:pPr>
      <w:r w:rsidRPr="00926922">
        <w:rPr>
          <w:b/>
          <w:bCs/>
        </w:rPr>
        <w:t>Reply to</w:t>
      </w:r>
      <w:r w:rsidR="00BA5C7C" w:rsidRPr="00926922">
        <w:rPr>
          <w:b/>
          <w:bCs/>
        </w:rPr>
        <w:t xml:space="preserve"> reviewer</w:t>
      </w:r>
      <w:r w:rsidRPr="00926922">
        <w:rPr>
          <w:b/>
          <w:bCs/>
        </w:rPr>
        <w:t>’s comment</w:t>
      </w:r>
      <w:r w:rsidR="0062188F" w:rsidRPr="00926922">
        <w:rPr>
          <w:b/>
          <w:bCs/>
        </w:rPr>
        <w:t>s</w:t>
      </w:r>
      <w:r w:rsidR="00BA5C7C" w:rsidRPr="00926922">
        <w:rPr>
          <w:b/>
          <w:bCs/>
        </w:rPr>
        <w:t xml:space="preserve">: </w:t>
      </w:r>
    </w:p>
    <w:p w14:paraId="220DEA65" w14:textId="77777777" w:rsidR="00B731C7" w:rsidRPr="00926922" w:rsidRDefault="00B731C7"/>
    <w:p w14:paraId="3046686A" w14:textId="140CFAB7" w:rsidR="00B731C7" w:rsidRPr="00926922" w:rsidRDefault="00B731C7">
      <w:r w:rsidRPr="00926922">
        <w:t xml:space="preserve">We thank reviews for the critical review and comments. </w:t>
      </w:r>
    </w:p>
    <w:p w14:paraId="4962B02C" w14:textId="77777777" w:rsidR="00B731C7" w:rsidRPr="00926922" w:rsidRDefault="00B731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9"/>
        <w:gridCol w:w="4330"/>
      </w:tblGrid>
      <w:tr w:rsidR="006F7A80" w:rsidRPr="00926922" w14:paraId="6BCEBB3F" w14:textId="77777777" w:rsidTr="006F7A80">
        <w:tc>
          <w:tcPr>
            <w:tcW w:w="4329" w:type="dxa"/>
          </w:tcPr>
          <w:p w14:paraId="60CF07DE" w14:textId="3BBB306A" w:rsidR="006F7A80" w:rsidRPr="00926922" w:rsidRDefault="006F7A80">
            <w:r w:rsidRPr="00926922">
              <w:t xml:space="preserve">The result for adjusted OR need to display together with the CI. </w:t>
            </w:r>
          </w:p>
        </w:tc>
        <w:tc>
          <w:tcPr>
            <w:tcW w:w="4330" w:type="dxa"/>
          </w:tcPr>
          <w:p w14:paraId="016DC943" w14:textId="08409A5D" w:rsidR="006F7A80" w:rsidRPr="00926922" w:rsidRDefault="00AF4556">
            <w:r w:rsidRPr="00926922">
              <w:t xml:space="preserve">95% CI values have been added. </w:t>
            </w:r>
          </w:p>
        </w:tc>
      </w:tr>
      <w:tr w:rsidR="006F7A80" w:rsidRPr="00926922" w14:paraId="0C4F393C" w14:textId="77777777" w:rsidTr="006F7A80">
        <w:tc>
          <w:tcPr>
            <w:tcW w:w="4329" w:type="dxa"/>
          </w:tcPr>
          <w:p w14:paraId="74F24AA8" w14:textId="0C695D49" w:rsidR="006F7A80" w:rsidRPr="00926922" w:rsidRDefault="006F7A80">
            <w:r w:rsidRPr="00926922">
              <w:t xml:space="preserve">How to correctly explain the </w:t>
            </w:r>
            <w:proofErr w:type="spellStart"/>
            <w:r w:rsidRPr="00926922">
              <w:t>ischaemic</w:t>
            </w:r>
            <w:proofErr w:type="spellEnd"/>
            <w:r w:rsidRPr="00926922">
              <w:t xml:space="preserve"> heart disease </w:t>
            </w:r>
            <w:proofErr w:type="spellStart"/>
            <w:r w:rsidRPr="00926922">
              <w:t>aOR</w:t>
            </w:r>
            <w:proofErr w:type="spellEnd"/>
            <w:r w:rsidRPr="00926922">
              <w:t xml:space="preserve"> as the protective factor for early mortality following MI in ED? </w:t>
            </w:r>
          </w:p>
        </w:tc>
        <w:tc>
          <w:tcPr>
            <w:tcW w:w="4330" w:type="dxa"/>
          </w:tcPr>
          <w:p w14:paraId="7E20F5FD" w14:textId="50AC4C10" w:rsidR="006F7A80" w:rsidRPr="00926922" w:rsidRDefault="00AF4556">
            <w:r w:rsidRPr="00926922">
              <w:t>The investigators have explanation</w:t>
            </w:r>
            <w:r w:rsidR="006A448B">
              <w:t>s</w:t>
            </w:r>
            <w:r w:rsidRPr="00926922">
              <w:t xml:space="preserve"> for this</w:t>
            </w:r>
            <w:r w:rsidR="00085ADB">
              <w:t xml:space="preserve"> with some references</w:t>
            </w:r>
            <w:r w:rsidRPr="00926922">
              <w:t xml:space="preserve">. However, the explanation </w:t>
            </w:r>
            <w:r w:rsidR="007C3B21" w:rsidRPr="00926922">
              <w:t xml:space="preserve">should not be part of the abstract. </w:t>
            </w:r>
          </w:p>
          <w:p w14:paraId="30084C26" w14:textId="77777777" w:rsidR="007C3B21" w:rsidRPr="00926922" w:rsidRDefault="007C3B21"/>
          <w:p w14:paraId="0E2714A2" w14:textId="3D53EB7D" w:rsidR="007C3B21" w:rsidRPr="00926922" w:rsidRDefault="007C3B21">
            <w:r w:rsidRPr="00926922">
              <w:t>It will be included under discussion in the poster</w:t>
            </w:r>
            <w:r w:rsidR="002C25E9" w:rsidRPr="00926922">
              <w:t xml:space="preserve">. </w:t>
            </w:r>
          </w:p>
        </w:tc>
      </w:tr>
      <w:tr w:rsidR="006F7A80" w:rsidRPr="00926922" w14:paraId="6B61C573" w14:textId="77777777" w:rsidTr="006F7A80">
        <w:tc>
          <w:tcPr>
            <w:tcW w:w="4329" w:type="dxa"/>
          </w:tcPr>
          <w:p w14:paraId="565376FB" w14:textId="32EAC53F" w:rsidR="006F7A80" w:rsidRPr="00926922" w:rsidRDefault="006F7A80">
            <w:r w:rsidRPr="00926922">
              <w:t xml:space="preserve">What is the definition of early mortality in this study? </w:t>
            </w:r>
          </w:p>
        </w:tc>
        <w:tc>
          <w:tcPr>
            <w:tcW w:w="4330" w:type="dxa"/>
          </w:tcPr>
          <w:p w14:paraId="3BDB3128" w14:textId="77777777" w:rsidR="006F7A80" w:rsidRPr="00926922" w:rsidRDefault="00B214F9">
            <w:r w:rsidRPr="00926922">
              <w:t>Early mortality in the ED was defined as mortality that occurred in the ED after thrombolysis</w:t>
            </w:r>
            <w:r w:rsidRPr="00926922">
              <w:t xml:space="preserve">. We have added the definition under “Method”. </w:t>
            </w:r>
          </w:p>
          <w:p w14:paraId="5B086043" w14:textId="6E108FB0" w:rsidR="0023388F" w:rsidRPr="00926922" w:rsidRDefault="0023388F"/>
        </w:tc>
      </w:tr>
      <w:tr w:rsidR="006F7A80" w:rsidRPr="00926922" w14:paraId="625833D1" w14:textId="77777777" w:rsidTr="006F7A80">
        <w:tc>
          <w:tcPr>
            <w:tcW w:w="4329" w:type="dxa"/>
          </w:tcPr>
          <w:p w14:paraId="20E0C830" w14:textId="739DCC70" w:rsidR="006F7A80" w:rsidRPr="00926922" w:rsidRDefault="006F7A80">
            <w:r w:rsidRPr="00926922">
              <w:t>What do you mean COVID-19 pandemic in the result? is it COVID-19 positive?</w:t>
            </w:r>
          </w:p>
        </w:tc>
        <w:tc>
          <w:tcPr>
            <w:tcW w:w="4330" w:type="dxa"/>
          </w:tcPr>
          <w:p w14:paraId="6A6C9334" w14:textId="3FAEED41" w:rsidR="006F7A80" w:rsidRPr="00926922" w:rsidRDefault="002C25E9">
            <w:r w:rsidRPr="00926922">
              <w:t xml:space="preserve">We </w:t>
            </w:r>
            <w:proofErr w:type="spellStart"/>
            <w:r w:rsidRPr="00926922">
              <w:t>apologise</w:t>
            </w:r>
            <w:proofErr w:type="spellEnd"/>
            <w:r w:rsidRPr="00926922">
              <w:t xml:space="preserve"> for the confusion.</w:t>
            </w:r>
            <w:r w:rsidR="00547BEE" w:rsidRPr="00926922">
              <w:t xml:space="preserve"> It refers to the patient presentation to ED during the COVID-19 pandemic. We have amended it to “presentation during the COVID-19 pandemic”. </w:t>
            </w:r>
          </w:p>
        </w:tc>
      </w:tr>
    </w:tbl>
    <w:p w14:paraId="0CDF5F2A" w14:textId="77777777" w:rsidR="006F7A80" w:rsidRPr="00535C3A" w:rsidRDefault="006F7A80">
      <w:pPr>
        <w:rPr>
          <w:sz w:val="32"/>
          <w:szCs w:val="32"/>
        </w:rPr>
      </w:pPr>
    </w:p>
    <w:sectPr w:rsidR="006F7A80" w:rsidRPr="00535C3A">
      <w:pgSz w:w="11906" w:h="16838"/>
      <w:pgMar w:top="567" w:right="1797" w:bottom="357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56408950">
    <w:abstractNumId w:val="0"/>
  </w:num>
  <w:num w:numId="2" w16cid:durableId="163062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cxtDQ0MjWwsDBQ0lEKTi0uzszPAykwNKoFALlBkqstAAAA"/>
  </w:docVars>
  <w:rsids>
    <w:rsidRoot w:val="00422D15"/>
    <w:rsid w:val="00000F8F"/>
    <w:rsid w:val="00004114"/>
    <w:rsid w:val="0001370A"/>
    <w:rsid w:val="000205E8"/>
    <w:rsid w:val="00035B28"/>
    <w:rsid w:val="00047084"/>
    <w:rsid w:val="00052CFD"/>
    <w:rsid w:val="00055BB5"/>
    <w:rsid w:val="0007231C"/>
    <w:rsid w:val="000828EC"/>
    <w:rsid w:val="00085ADB"/>
    <w:rsid w:val="00087F24"/>
    <w:rsid w:val="00092092"/>
    <w:rsid w:val="000921DC"/>
    <w:rsid w:val="000944E5"/>
    <w:rsid w:val="000C040E"/>
    <w:rsid w:val="000F5D31"/>
    <w:rsid w:val="00102949"/>
    <w:rsid w:val="001213C1"/>
    <w:rsid w:val="00122015"/>
    <w:rsid w:val="00132FE5"/>
    <w:rsid w:val="0014020E"/>
    <w:rsid w:val="001550EA"/>
    <w:rsid w:val="00174BFD"/>
    <w:rsid w:val="00176A42"/>
    <w:rsid w:val="001849B6"/>
    <w:rsid w:val="001B35C5"/>
    <w:rsid w:val="001D13F0"/>
    <w:rsid w:val="001D719D"/>
    <w:rsid w:val="001E4D6D"/>
    <w:rsid w:val="001E4E63"/>
    <w:rsid w:val="001F2886"/>
    <w:rsid w:val="002035BC"/>
    <w:rsid w:val="002160C5"/>
    <w:rsid w:val="0023388F"/>
    <w:rsid w:val="00236182"/>
    <w:rsid w:val="002717E8"/>
    <w:rsid w:val="00280EDB"/>
    <w:rsid w:val="00283748"/>
    <w:rsid w:val="002A04A9"/>
    <w:rsid w:val="002B247F"/>
    <w:rsid w:val="002B2F93"/>
    <w:rsid w:val="002C25E9"/>
    <w:rsid w:val="002D4CBC"/>
    <w:rsid w:val="002E3077"/>
    <w:rsid w:val="002F6EFB"/>
    <w:rsid w:val="00300647"/>
    <w:rsid w:val="003174D9"/>
    <w:rsid w:val="00325480"/>
    <w:rsid w:val="0034028A"/>
    <w:rsid w:val="003537E5"/>
    <w:rsid w:val="003743F9"/>
    <w:rsid w:val="003A366E"/>
    <w:rsid w:val="003B79EA"/>
    <w:rsid w:val="003C3400"/>
    <w:rsid w:val="003D2E92"/>
    <w:rsid w:val="003D683D"/>
    <w:rsid w:val="004027B0"/>
    <w:rsid w:val="00414FBE"/>
    <w:rsid w:val="00422D15"/>
    <w:rsid w:val="00425FCB"/>
    <w:rsid w:val="0043642B"/>
    <w:rsid w:val="0045363D"/>
    <w:rsid w:val="0045369A"/>
    <w:rsid w:val="00454070"/>
    <w:rsid w:val="00473D95"/>
    <w:rsid w:val="004777AE"/>
    <w:rsid w:val="004831E3"/>
    <w:rsid w:val="00485069"/>
    <w:rsid w:val="00494C5F"/>
    <w:rsid w:val="004A3391"/>
    <w:rsid w:val="004D6572"/>
    <w:rsid w:val="00501DFA"/>
    <w:rsid w:val="0052141C"/>
    <w:rsid w:val="005276DD"/>
    <w:rsid w:val="00535507"/>
    <w:rsid w:val="00535C3A"/>
    <w:rsid w:val="00541DCD"/>
    <w:rsid w:val="00547BEE"/>
    <w:rsid w:val="00560D1A"/>
    <w:rsid w:val="00591DD2"/>
    <w:rsid w:val="005934FD"/>
    <w:rsid w:val="005A260C"/>
    <w:rsid w:val="005A32BC"/>
    <w:rsid w:val="005A77BE"/>
    <w:rsid w:val="005B1202"/>
    <w:rsid w:val="005B3F84"/>
    <w:rsid w:val="005C54DC"/>
    <w:rsid w:val="005F4293"/>
    <w:rsid w:val="005F684E"/>
    <w:rsid w:val="00607257"/>
    <w:rsid w:val="00610024"/>
    <w:rsid w:val="00613174"/>
    <w:rsid w:val="0062188F"/>
    <w:rsid w:val="00660E23"/>
    <w:rsid w:val="00667EEF"/>
    <w:rsid w:val="0067071B"/>
    <w:rsid w:val="006813E4"/>
    <w:rsid w:val="0068350D"/>
    <w:rsid w:val="006A448B"/>
    <w:rsid w:val="006B055E"/>
    <w:rsid w:val="006F7A80"/>
    <w:rsid w:val="00711371"/>
    <w:rsid w:val="007205CA"/>
    <w:rsid w:val="00720FE3"/>
    <w:rsid w:val="007475D2"/>
    <w:rsid w:val="0075130D"/>
    <w:rsid w:val="007760C8"/>
    <w:rsid w:val="00780977"/>
    <w:rsid w:val="00782114"/>
    <w:rsid w:val="007A1632"/>
    <w:rsid w:val="007A1D33"/>
    <w:rsid w:val="007B5D02"/>
    <w:rsid w:val="007C3B21"/>
    <w:rsid w:val="007D0758"/>
    <w:rsid w:val="007E0965"/>
    <w:rsid w:val="007E1313"/>
    <w:rsid w:val="008150BD"/>
    <w:rsid w:val="0082139B"/>
    <w:rsid w:val="008343BD"/>
    <w:rsid w:val="00836FD8"/>
    <w:rsid w:val="00840DD2"/>
    <w:rsid w:val="00864DB6"/>
    <w:rsid w:val="008A14DD"/>
    <w:rsid w:val="008B054C"/>
    <w:rsid w:val="008D34FD"/>
    <w:rsid w:val="0090148E"/>
    <w:rsid w:val="009024A8"/>
    <w:rsid w:val="009257FE"/>
    <w:rsid w:val="00926922"/>
    <w:rsid w:val="009305F7"/>
    <w:rsid w:val="0093322F"/>
    <w:rsid w:val="00943A75"/>
    <w:rsid w:val="009554B7"/>
    <w:rsid w:val="00962065"/>
    <w:rsid w:val="00963AA9"/>
    <w:rsid w:val="009748C4"/>
    <w:rsid w:val="00976DA9"/>
    <w:rsid w:val="00994266"/>
    <w:rsid w:val="009A21A1"/>
    <w:rsid w:val="009B4C9F"/>
    <w:rsid w:val="009D4451"/>
    <w:rsid w:val="009E21F9"/>
    <w:rsid w:val="009F1642"/>
    <w:rsid w:val="009F48E6"/>
    <w:rsid w:val="00A3559E"/>
    <w:rsid w:val="00A4465B"/>
    <w:rsid w:val="00A556CB"/>
    <w:rsid w:val="00A63B59"/>
    <w:rsid w:val="00A97E24"/>
    <w:rsid w:val="00AD6606"/>
    <w:rsid w:val="00AE033F"/>
    <w:rsid w:val="00AE180E"/>
    <w:rsid w:val="00AF4556"/>
    <w:rsid w:val="00B04AD8"/>
    <w:rsid w:val="00B06253"/>
    <w:rsid w:val="00B11063"/>
    <w:rsid w:val="00B16FF6"/>
    <w:rsid w:val="00B214F9"/>
    <w:rsid w:val="00B57F57"/>
    <w:rsid w:val="00B65487"/>
    <w:rsid w:val="00B731C7"/>
    <w:rsid w:val="00B743AA"/>
    <w:rsid w:val="00BA5C7C"/>
    <w:rsid w:val="00BB7364"/>
    <w:rsid w:val="00C01DFF"/>
    <w:rsid w:val="00C14072"/>
    <w:rsid w:val="00C145D1"/>
    <w:rsid w:val="00C14859"/>
    <w:rsid w:val="00C15844"/>
    <w:rsid w:val="00C21527"/>
    <w:rsid w:val="00C2428D"/>
    <w:rsid w:val="00C30A7E"/>
    <w:rsid w:val="00C51BD8"/>
    <w:rsid w:val="00C72C7A"/>
    <w:rsid w:val="00C827E0"/>
    <w:rsid w:val="00C901D8"/>
    <w:rsid w:val="00CA24B0"/>
    <w:rsid w:val="00CB31BA"/>
    <w:rsid w:val="00CB396C"/>
    <w:rsid w:val="00CD61EE"/>
    <w:rsid w:val="00CE5A76"/>
    <w:rsid w:val="00CF46FD"/>
    <w:rsid w:val="00CF7B27"/>
    <w:rsid w:val="00D15986"/>
    <w:rsid w:val="00D447AE"/>
    <w:rsid w:val="00D540B9"/>
    <w:rsid w:val="00D5573C"/>
    <w:rsid w:val="00D810B3"/>
    <w:rsid w:val="00D820BB"/>
    <w:rsid w:val="00D82F61"/>
    <w:rsid w:val="00DA75D0"/>
    <w:rsid w:val="00DC4E5B"/>
    <w:rsid w:val="00DD3D07"/>
    <w:rsid w:val="00DE4F37"/>
    <w:rsid w:val="00E1167C"/>
    <w:rsid w:val="00E21DBC"/>
    <w:rsid w:val="00E50F56"/>
    <w:rsid w:val="00E5683A"/>
    <w:rsid w:val="00E57A65"/>
    <w:rsid w:val="00E60B6A"/>
    <w:rsid w:val="00E70065"/>
    <w:rsid w:val="00E83661"/>
    <w:rsid w:val="00EA0872"/>
    <w:rsid w:val="00EA19D0"/>
    <w:rsid w:val="00EB391F"/>
    <w:rsid w:val="00EE2C3A"/>
    <w:rsid w:val="00EF6027"/>
    <w:rsid w:val="00F07637"/>
    <w:rsid w:val="00F23C4A"/>
    <w:rsid w:val="00F37CCA"/>
    <w:rsid w:val="00F40D50"/>
    <w:rsid w:val="00F53D7B"/>
    <w:rsid w:val="00F558B3"/>
    <w:rsid w:val="00F72F0F"/>
    <w:rsid w:val="00F80E79"/>
    <w:rsid w:val="00F96927"/>
    <w:rsid w:val="00FA7BC4"/>
    <w:rsid w:val="00FC511C"/>
    <w:rsid w:val="00FD159A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BC0505"/>
  <w15:chartTrackingRefBased/>
  <w15:docId w15:val="{55C45018-4BE9-41C7-A067-E94A0DE6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A0">
    <w:name w:val="A0"/>
    <w:rPr>
      <w:color w:val="00000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left="180"/>
    </w:pPr>
    <w:rPr>
      <w:b/>
      <w:bCs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6F7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(Times New Roman 12 font bold, left aligned)</vt:lpstr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(Times New Roman 12 font bold, left aligned)</dc:title>
  <dc:subject/>
  <dc:creator>Lenovo</dc:creator>
  <cp:keywords/>
  <cp:lastModifiedBy>Wilson Koh</cp:lastModifiedBy>
  <cp:revision>24</cp:revision>
  <cp:lastPrinted>2023-08-10T05:43:00Z</cp:lastPrinted>
  <dcterms:created xsi:type="dcterms:W3CDTF">2024-06-25T12:20:00Z</dcterms:created>
  <dcterms:modified xsi:type="dcterms:W3CDTF">2024-06-25T12:39:00Z</dcterms:modified>
</cp:coreProperties>
</file>