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2B2444"/>
    <w:p w14:paraId="6A009819"/>
    <w:p w14:paraId="275E8B81">
      <w:pPr>
        <w:jc w:val="both"/>
        <w:rPr>
          <w:rFonts w:ascii="Times New Roman" w:hAnsi="Times New Roman" w:cs="Times New Roman"/>
          <w:b/>
          <w:bCs/>
        </w:rPr>
      </w:pPr>
      <w:r>
        <w:rPr>
          <w:rFonts w:ascii="Times New Roman" w:hAnsi="Times New Roman" w:cs="Times New Roman"/>
          <w:b/>
          <w:bCs/>
        </w:rPr>
        <w:t>THE DEADLY STEMI MIMICS: DISTINGUISHING TAKOTSUBO CAR</w:t>
      </w:r>
      <w:r>
        <w:rPr>
          <w:rFonts w:hint="default" w:ascii="Times New Roman" w:hAnsi="Times New Roman" w:cs="Times New Roman"/>
          <w:b/>
          <w:bCs/>
          <w:lang w:val="en-US"/>
        </w:rPr>
        <w:t>D</w:t>
      </w:r>
      <w:r>
        <w:rPr>
          <w:rFonts w:ascii="Times New Roman" w:hAnsi="Times New Roman" w:cs="Times New Roman"/>
          <w:b/>
          <w:bCs/>
        </w:rPr>
        <w:t>IOMYOP</w:t>
      </w:r>
      <w:r>
        <w:rPr>
          <w:rFonts w:hint="default" w:ascii="Times New Roman" w:hAnsi="Times New Roman" w:cs="Times New Roman"/>
          <w:b/>
          <w:bCs/>
          <w:lang w:val="en-US"/>
        </w:rPr>
        <w:t>A</w:t>
      </w:r>
      <w:r>
        <w:rPr>
          <w:rFonts w:ascii="Times New Roman" w:hAnsi="Times New Roman" w:cs="Times New Roman"/>
          <w:b/>
          <w:bCs/>
        </w:rPr>
        <w:t>THY FROM ANTERIOR STEMI IN A LONELY LADY IN ELDERLY HOME.</w:t>
      </w:r>
    </w:p>
    <w:p w14:paraId="589B250D">
      <w:pPr>
        <w:jc w:val="both"/>
      </w:pPr>
    </w:p>
    <w:p w14:paraId="7990135F">
      <w:pPr>
        <w:jc w:val="both"/>
        <w:rPr>
          <w:rFonts w:ascii="Times New Roman" w:hAnsi="Times New Roman" w:cs="Times New Roman"/>
          <w:vertAlign w:val="superscript"/>
        </w:rPr>
      </w:pPr>
      <w:r>
        <w:rPr>
          <w:rFonts w:ascii="Times New Roman" w:hAnsi="Times New Roman" w:cs="Times New Roman"/>
          <w:u w:val="single"/>
        </w:rPr>
        <w:t>Nik Shaheeda M.</w:t>
      </w:r>
      <w:r>
        <w:rPr>
          <w:rFonts w:ascii="Times New Roman" w:hAnsi="Times New Roman" w:cs="Times New Roman"/>
          <w:u w:val="single"/>
          <w:vertAlign w:val="superscript"/>
        </w:rPr>
        <w:t>1</w:t>
      </w:r>
      <w:r>
        <w:rPr>
          <w:rFonts w:ascii="Times New Roman" w:hAnsi="Times New Roman" w:cs="Times New Roman"/>
        </w:rPr>
        <w:t xml:space="preserve"> , Muhammad Khidir Mohd Kamil.</w:t>
      </w:r>
      <w:r>
        <w:rPr>
          <w:rFonts w:ascii="Times New Roman" w:hAnsi="Times New Roman" w:cs="Times New Roman"/>
          <w:vertAlign w:val="superscript"/>
        </w:rPr>
        <w:t>1</w:t>
      </w:r>
    </w:p>
    <w:p w14:paraId="7749CC42">
      <w:pPr>
        <w:jc w:val="both"/>
        <w:rPr>
          <w:rFonts w:ascii="Times New Roman" w:hAnsi="Times New Roman" w:cs="Times New Roman"/>
          <w:vertAlign w:val="superscript"/>
        </w:rPr>
      </w:pPr>
    </w:p>
    <w:p w14:paraId="31018106">
      <w:pPr>
        <w:jc w:val="both"/>
        <w:rPr>
          <w:rFonts w:ascii="Times New Roman" w:hAnsi="Times New Roman" w:cs="Times New Roman"/>
          <w:i/>
          <w:iCs/>
        </w:rPr>
      </w:pPr>
      <w:r>
        <w:rPr>
          <w:rFonts w:ascii="Times New Roman" w:hAnsi="Times New Roman" w:cs="Times New Roman"/>
          <w:i/>
          <w:iCs/>
          <w:vertAlign w:val="superscript"/>
        </w:rPr>
        <w:t>1</w:t>
      </w:r>
      <w:r>
        <w:rPr>
          <w:rFonts w:ascii="Times New Roman" w:hAnsi="Times New Roman" w:cs="Times New Roman"/>
          <w:i/>
          <w:iCs/>
        </w:rPr>
        <w:t>Emergency and Trauma Department, Teluk Inta</w:t>
      </w:r>
      <w:r>
        <w:rPr>
          <w:rFonts w:hint="default" w:ascii="Times New Roman" w:hAnsi="Times New Roman" w:cs="Times New Roman"/>
          <w:i/>
          <w:iCs/>
          <w:lang w:val="en-US"/>
        </w:rPr>
        <w:t xml:space="preserve">n </w:t>
      </w:r>
      <w:r>
        <w:rPr>
          <w:rFonts w:ascii="Times New Roman" w:hAnsi="Times New Roman" w:cs="Times New Roman"/>
          <w:i/>
          <w:iCs/>
        </w:rPr>
        <w:t xml:space="preserve"> Hospital, Perak</w:t>
      </w:r>
    </w:p>
    <w:p w14:paraId="68A2B257">
      <w:pPr>
        <w:jc w:val="both"/>
        <w:rPr>
          <w:rFonts w:ascii="Times New Roman" w:hAnsi="Times New Roman" w:cs="Times New Roman"/>
          <w:vertAlign w:val="superscript"/>
        </w:rPr>
      </w:pPr>
    </w:p>
    <w:p w14:paraId="43369D7E">
      <w:pPr>
        <w:jc w:val="both"/>
        <w:rPr>
          <w:rFonts w:ascii="Times New Roman" w:hAnsi="Times New Roman" w:cs="Times New Roman"/>
          <w:b/>
          <w:bCs/>
          <w:sz w:val="21"/>
          <w:szCs w:val="21"/>
        </w:rPr>
      </w:pPr>
      <w:r>
        <w:rPr>
          <w:rFonts w:ascii="Times New Roman" w:hAnsi="Times New Roman" w:cs="Times New Roman"/>
          <w:b/>
          <w:bCs/>
          <w:sz w:val="21"/>
          <w:szCs w:val="21"/>
        </w:rPr>
        <w:t>Introduction</w:t>
      </w:r>
    </w:p>
    <w:p w14:paraId="0EB082EB">
      <w:pPr>
        <w:jc w:val="both"/>
        <w:rPr>
          <w:rFonts w:hint="default" w:ascii="Times New Roman" w:hAnsi="Times New Roman" w:cs="Times New Roman"/>
          <w:sz w:val="21"/>
          <w:szCs w:val="21"/>
          <w:lang w:val="en-US"/>
        </w:rPr>
      </w:pPr>
      <w:r>
        <w:rPr>
          <w:rFonts w:ascii="Times New Roman" w:hAnsi="Times New Roman" w:cs="Times New Roman"/>
          <w:sz w:val="21"/>
          <w:szCs w:val="21"/>
          <w:lang w:val="en-MY"/>
        </w:rPr>
        <w:t xml:space="preserve">Takotsubo cardiomyopathy (TC) is a rare clinical syndrome manifested by transient left ventricular dysfunction without occlusive coronary arteries, or elevation of cardiac troponin </w:t>
      </w:r>
      <w:r>
        <w:rPr>
          <w:rFonts w:hint="default" w:ascii="Times New Roman" w:hAnsi="Times New Roman" w:cs="Times New Roman"/>
          <w:sz w:val="21"/>
          <w:szCs w:val="21"/>
          <w:lang w:val="en-US"/>
        </w:rPr>
        <w:t>which</w:t>
      </w:r>
      <w:r>
        <w:rPr>
          <w:rFonts w:ascii="Times New Roman" w:hAnsi="Times New Roman" w:cs="Times New Roman"/>
          <w:sz w:val="21"/>
          <w:szCs w:val="21"/>
          <w:lang w:val="en-MY"/>
        </w:rPr>
        <w:t xml:space="preserve"> is usually associated with a stress</w:t>
      </w:r>
      <w:r>
        <w:rPr>
          <w:rFonts w:hint="default" w:ascii="Times New Roman" w:hAnsi="Times New Roman" w:cs="Times New Roman"/>
          <w:sz w:val="21"/>
          <w:szCs w:val="21"/>
          <w:lang w:val="en-US"/>
        </w:rPr>
        <w:t>or</w:t>
      </w:r>
      <w:r>
        <w:rPr>
          <w:rFonts w:ascii="Times New Roman" w:hAnsi="Times New Roman" w:cs="Times New Roman"/>
          <w:sz w:val="21"/>
          <w:szCs w:val="21"/>
          <w:lang w:val="en-MY"/>
        </w:rPr>
        <w:t xml:space="preserve">. </w:t>
      </w:r>
      <w:r>
        <w:rPr>
          <w:rFonts w:hint="default" w:ascii="Times New Roman" w:hAnsi="Times New Roman" w:cs="Times New Roman"/>
          <w:sz w:val="21"/>
          <w:szCs w:val="21"/>
          <w:lang w:val="en-US"/>
        </w:rPr>
        <w:t>The</w:t>
      </w:r>
      <w:r>
        <w:rPr>
          <w:rFonts w:ascii="Times New Roman" w:hAnsi="Times New Roman" w:cs="Times New Roman"/>
          <w:sz w:val="21"/>
          <w:szCs w:val="21"/>
          <w:lang w:val="en-MY"/>
        </w:rPr>
        <w:t xml:space="preserve"> clinical features and </w:t>
      </w:r>
      <w:r>
        <w:rPr>
          <w:rFonts w:hint="default" w:ascii="Times New Roman" w:hAnsi="Times New Roman" w:cs="Times New Roman"/>
          <w:sz w:val="21"/>
          <w:szCs w:val="21"/>
          <w:lang w:val="en-US"/>
        </w:rPr>
        <w:t>echocardiogram (</w:t>
      </w:r>
      <w:r>
        <w:rPr>
          <w:rFonts w:ascii="Times New Roman" w:hAnsi="Times New Roman" w:cs="Times New Roman"/>
          <w:sz w:val="21"/>
          <w:szCs w:val="21"/>
          <w:lang w:val="en-MY"/>
        </w:rPr>
        <w:t>ECG</w:t>
      </w:r>
      <w:r>
        <w:rPr>
          <w:rFonts w:hint="default" w:ascii="Times New Roman" w:hAnsi="Times New Roman" w:cs="Times New Roman"/>
          <w:sz w:val="21"/>
          <w:szCs w:val="21"/>
          <w:lang w:val="en-US"/>
        </w:rPr>
        <w:t>)</w:t>
      </w:r>
      <w:r>
        <w:rPr>
          <w:rFonts w:ascii="Times New Roman" w:hAnsi="Times New Roman" w:cs="Times New Roman"/>
          <w:sz w:val="21"/>
          <w:szCs w:val="21"/>
          <w:lang w:val="en-MY"/>
        </w:rPr>
        <w:t xml:space="preserve"> changes in TC</w:t>
      </w:r>
      <w:r>
        <w:rPr>
          <w:rFonts w:hint="default" w:ascii="Times New Roman" w:hAnsi="Times New Roman" w:cs="Times New Roman"/>
          <w:sz w:val="21"/>
          <w:szCs w:val="21"/>
          <w:lang w:val="en-US"/>
        </w:rPr>
        <w:t xml:space="preserve"> may</w:t>
      </w:r>
      <w:r>
        <w:rPr>
          <w:rFonts w:ascii="Times New Roman" w:hAnsi="Times New Roman" w:cs="Times New Roman"/>
          <w:sz w:val="21"/>
          <w:szCs w:val="21"/>
          <w:lang w:val="en-MY"/>
        </w:rPr>
        <w:t xml:space="preserve"> mimic ST elevation myocardial infarction (STEMI)</w:t>
      </w:r>
      <w:r>
        <w:rPr>
          <w:rFonts w:hint="default" w:ascii="Times New Roman" w:hAnsi="Times New Roman" w:cs="Times New Roman"/>
          <w:sz w:val="21"/>
          <w:szCs w:val="21"/>
          <w:lang w:val="en-US"/>
        </w:rPr>
        <w:t>.</w:t>
      </w:r>
    </w:p>
    <w:p w14:paraId="1D2B3D45">
      <w:pPr>
        <w:jc w:val="both"/>
        <w:rPr>
          <w:rFonts w:hint="default" w:ascii="Times New Roman" w:hAnsi="Times New Roman" w:cs="Times New Roman"/>
          <w:sz w:val="21"/>
          <w:szCs w:val="21"/>
          <w:lang w:val="en-US"/>
        </w:rPr>
      </w:pPr>
    </w:p>
    <w:p w14:paraId="6E1812C1">
      <w:pPr>
        <w:jc w:val="both"/>
        <w:rPr>
          <w:rFonts w:ascii="Times New Roman" w:hAnsi="Times New Roman" w:cs="Times New Roman"/>
          <w:sz w:val="21"/>
          <w:szCs w:val="21"/>
        </w:rPr>
      </w:pPr>
      <w:r>
        <w:rPr>
          <w:rFonts w:ascii="Times New Roman" w:hAnsi="Times New Roman" w:cs="Times New Roman"/>
          <w:b/>
          <w:bCs/>
          <w:sz w:val="21"/>
          <w:szCs w:val="21"/>
        </w:rPr>
        <w:t>Case description</w:t>
      </w:r>
    </w:p>
    <w:p w14:paraId="039980E3">
      <w:pPr>
        <w:jc w:val="both"/>
        <w:rPr>
          <w:rFonts w:ascii="Times New Roman" w:hAnsi="Times New Roman" w:cs="Times New Roman"/>
          <w:sz w:val="21"/>
          <w:szCs w:val="21"/>
          <w:lang w:val="en-MY"/>
        </w:rPr>
      </w:pPr>
      <w:r>
        <w:rPr>
          <w:rFonts w:ascii="Times New Roman" w:hAnsi="Times New Roman" w:cs="Times New Roman"/>
          <w:sz w:val="21"/>
          <w:szCs w:val="21"/>
        </w:rPr>
        <w:t>A</w:t>
      </w:r>
      <w:r>
        <w:rPr>
          <w:rFonts w:hint="default" w:ascii="Times New Roman" w:hAnsi="Times New Roman" w:cs="Times New Roman"/>
          <w:sz w:val="21"/>
          <w:szCs w:val="21"/>
          <w:lang w:val="en-US"/>
        </w:rPr>
        <w:t>n</w:t>
      </w:r>
      <w:r>
        <w:rPr>
          <w:rFonts w:ascii="Times New Roman" w:hAnsi="Times New Roman" w:cs="Times New Roman"/>
          <w:sz w:val="21"/>
          <w:szCs w:val="21"/>
        </w:rPr>
        <w:t xml:space="preserve"> 84-year-old woman with history of hypertension</w:t>
      </w:r>
      <w:r>
        <w:rPr>
          <w:rFonts w:hint="default" w:ascii="Times New Roman" w:hAnsi="Times New Roman" w:cs="Times New Roman"/>
          <w:sz w:val="21"/>
          <w:szCs w:val="21"/>
          <w:lang w:val="en-US"/>
        </w:rPr>
        <w:t xml:space="preserve">, </w:t>
      </w:r>
      <w:r>
        <w:rPr>
          <w:rFonts w:ascii="Times New Roman" w:hAnsi="Times New Roman" w:cs="Times New Roman"/>
          <w:sz w:val="21"/>
          <w:szCs w:val="21"/>
        </w:rPr>
        <w:t>dyslipid</w:t>
      </w:r>
      <w:r>
        <w:rPr>
          <w:rFonts w:hint="default" w:ascii="Times New Roman" w:hAnsi="Times New Roman" w:cs="Times New Roman"/>
          <w:sz w:val="21"/>
          <w:szCs w:val="21"/>
          <w:lang w:val="en-US"/>
        </w:rPr>
        <w:t>a</w:t>
      </w:r>
      <w:r>
        <w:rPr>
          <w:rFonts w:ascii="Times New Roman" w:hAnsi="Times New Roman" w:cs="Times New Roman"/>
          <w:sz w:val="21"/>
          <w:szCs w:val="21"/>
        </w:rPr>
        <w:t>emia brought to emergency department after she was found unconscious and appeared dyspn</w:t>
      </w:r>
      <w:r>
        <w:rPr>
          <w:rFonts w:hint="default" w:ascii="Times New Roman" w:hAnsi="Times New Roman" w:cs="Times New Roman"/>
          <w:sz w:val="21"/>
          <w:szCs w:val="21"/>
          <w:lang w:val="en-US"/>
        </w:rPr>
        <w:t>o</w:t>
      </w:r>
      <w:r>
        <w:rPr>
          <w:rFonts w:ascii="Times New Roman" w:hAnsi="Times New Roman" w:cs="Times New Roman"/>
          <w:sz w:val="21"/>
          <w:szCs w:val="21"/>
        </w:rPr>
        <w:t xml:space="preserve">eic. </w:t>
      </w:r>
      <w:r>
        <w:rPr>
          <w:rFonts w:ascii="Times New Roman" w:hAnsi="Times New Roman" w:cs="Times New Roman"/>
          <w:sz w:val="21"/>
          <w:szCs w:val="21"/>
          <w:lang w:val="en-MY"/>
        </w:rPr>
        <w:t>She was lonely for the past eight months</w:t>
      </w:r>
      <w:r>
        <w:rPr>
          <w:rFonts w:hint="default" w:ascii="Times New Roman" w:hAnsi="Times New Roman" w:cs="Times New Roman"/>
          <w:sz w:val="21"/>
          <w:szCs w:val="21"/>
          <w:lang w:val="en-US"/>
        </w:rPr>
        <w:t xml:space="preserve"> she spent in nursing</w:t>
      </w:r>
      <w:r>
        <w:rPr>
          <w:rFonts w:ascii="Times New Roman" w:hAnsi="Times New Roman" w:cs="Times New Roman"/>
          <w:sz w:val="21"/>
          <w:szCs w:val="21"/>
          <w:lang w:val="en-MY"/>
        </w:rPr>
        <w:t xml:space="preserve"> home</w:t>
      </w:r>
      <w:r>
        <w:rPr>
          <w:rFonts w:ascii="Times New Roman" w:hAnsi="Times New Roman" w:cs="Times New Roman"/>
          <w:sz w:val="21"/>
          <w:szCs w:val="21"/>
        </w:rPr>
        <w:t>. Upon arrival, she was tachypn</w:t>
      </w:r>
      <w:r>
        <w:rPr>
          <w:rFonts w:hint="default" w:ascii="Times New Roman" w:hAnsi="Times New Roman" w:cs="Times New Roman"/>
          <w:sz w:val="21"/>
          <w:szCs w:val="21"/>
          <w:lang w:val="en-US"/>
        </w:rPr>
        <w:t>o</w:t>
      </w:r>
      <w:r>
        <w:rPr>
          <w:rFonts w:ascii="Times New Roman" w:hAnsi="Times New Roman" w:cs="Times New Roman"/>
          <w:sz w:val="21"/>
          <w:szCs w:val="21"/>
        </w:rPr>
        <w:t>eic</w:t>
      </w:r>
      <w:r>
        <w:rPr>
          <w:rFonts w:hint="default" w:ascii="Times New Roman" w:hAnsi="Times New Roman" w:cs="Times New Roman"/>
          <w:sz w:val="21"/>
          <w:szCs w:val="21"/>
          <w:lang w:val="en-US"/>
        </w:rPr>
        <w:t xml:space="preserve">, </w:t>
      </w:r>
      <w:r>
        <w:rPr>
          <w:rFonts w:ascii="Times New Roman" w:hAnsi="Times New Roman" w:cs="Times New Roman"/>
          <w:sz w:val="21"/>
          <w:szCs w:val="21"/>
        </w:rPr>
        <w:t>oxygen saturation was 96% in 15 L</w:t>
      </w:r>
      <w:r>
        <w:rPr>
          <w:rFonts w:hint="default" w:ascii="Times New Roman" w:hAnsi="Times New Roman" w:cs="Times New Roman"/>
          <w:sz w:val="21"/>
          <w:szCs w:val="21"/>
          <w:lang w:val="en-US"/>
        </w:rPr>
        <w:t>itre</w:t>
      </w:r>
      <w:r>
        <w:rPr>
          <w:rFonts w:ascii="Times New Roman" w:hAnsi="Times New Roman" w:cs="Times New Roman"/>
          <w:sz w:val="21"/>
          <w:szCs w:val="21"/>
        </w:rPr>
        <w:t xml:space="preserve">/min non-rebreather mask. Her Glasgow Coma Scale (GCS) was E2V1M1. She had reduced air entry over right lung. An ECG revealed ST elevations </w:t>
      </w:r>
      <w:r>
        <w:rPr>
          <w:rFonts w:hint="default" w:ascii="Times New Roman" w:hAnsi="Times New Roman" w:cs="Times New Roman"/>
          <w:sz w:val="21"/>
          <w:szCs w:val="21"/>
          <w:lang w:val="en-US"/>
        </w:rPr>
        <w:t>in</w:t>
      </w:r>
      <w:r>
        <w:rPr>
          <w:rFonts w:ascii="Times New Roman" w:hAnsi="Times New Roman" w:cs="Times New Roman"/>
          <w:sz w:val="21"/>
          <w:szCs w:val="21"/>
        </w:rPr>
        <w:t xml:space="preserve"> V2 to V6, without reciprocal changes</w:t>
      </w:r>
      <w:r>
        <w:rPr>
          <w:rFonts w:hint="default" w:ascii="Times New Roman" w:hAnsi="Times New Roman" w:cs="Times New Roman"/>
          <w:sz w:val="21"/>
          <w:szCs w:val="21"/>
          <w:lang w:val="en-US"/>
        </w:rPr>
        <w:t>,</w:t>
      </w:r>
      <w:r>
        <w:rPr>
          <w:rFonts w:ascii="Times New Roman" w:hAnsi="Times New Roman" w:cs="Times New Roman"/>
          <w:sz w:val="21"/>
          <w:szCs w:val="21"/>
        </w:rPr>
        <w:t xml:space="preserve"> with ST depression in aVR. Chest X-ray showed consolidation over right middle zone. Cardiac point-of-care ultrasound (POCUS) demonstrated depressed ejection fraction of 31%, hypokinesis of mid ventricular to apical wall with normal motion of basal segments, and apical segment ballooning. Troponin-I level was 25 ng/L. Her blood sugar level was 2.8 mmol/L. She was treated for pneumonia and hypoglyc</w:t>
      </w:r>
      <w:r>
        <w:rPr>
          <w:rFonts w:hint="default" w:ascii="Times New Roman" w:hAnsi="Times New Roman" w:cs="Times New Roman"/>
          <w:sz w:val="21"/>
          <w:szCs w:val="21"/>
          <w:lang w:val="en-US"/>
        </w:rPr>
        <w:t>a</w:t>
      </w:r>
      <w:r>
        <w:rPr>
          <w:rFonts w:ascii="Times New Roman" w:hAnsi="Times New Roman" w:cs="Times New Roman"/>
          <w:sz w:val="21"/>
          <w:szCs w:val="21"/>
        </w:rPr>
        <w:t xml:space="preserve">emia, but her mental status did not improve. Despite treatment, the patient died due to sepsis. </w:t>
      </w:r>
    </w:p>
    <w:p w14:paraId="1F8F4324">
      <w:pPr>
        <w:jc w:val="both"/>
        <w:rPr>
          <w:rFonts w:ascii="Times New Roman" w:hAnsi="Times New Roman" w:cs="Times New Roman"/>
          <w:sz w:val="22"/>
          <w:szCs w:val="22"/>
        </w:rPr>
      </w:pPr>
    </w:p>
    <w:p w14:paraId="0AF554E5">
      <w:pPr>
        <w:jc w:val="both"/>
        <w:rPr>
          <w:rFonts w:ascii="Times New Roman" w:hAnsi="Times New Roman" w:cs="Times New Roman"/>
          <w:b/>
          <w:bCs/>
          <w:sz w:val="21"/>
          <w:szCs w:val="21"/>
        </w:rPr>
      </w:pPr>
      <w:r>
        <w:rPr>
          <w:rFonts w:ascii="Times New Roman" w:hAnsi="Times New Roman" w:cs="Times New Roman"/>
          <w:b/>
          <w:bCs/>
          <w:sz w:val="21"/>
          <w:szCs w:val="21"/>
        </w:rPr>
        <w:t>Discussion</w:t>
      </w:r>
    </w:p>
    <w:p w14:paraId="72EAEA85">
      <w:pPr>
        <w:jc w:val="both"/>
        <w:rPr>
          <w:rFonts w:ascii="Times New Roman" w:hAnsi="Times New Roman" w:cs="Times New Roman"/>
          <w:sz w:val="21"/>
          <w:szCs w:val="21"/>
        </w:rPr>
      </w:pPr>
      <w:r>
        <w:rPr>
          <w:rFonts w:hint="default" w:ascii="Times New Roman" w:hAnsi="Times New Roman" w:cs="Times New Roman"/>
          <w:sz w:val="21"/>
          <w:szCs w:val="21"/>
          <w:lang w:val="en-US"/>
        </w:rPr>
        <w:t>D</w:t>
      </w:r>
      <w:r>
        <w:rPr>
          <w:rFonts w:ascii="Times New Roman" w:hAnsi="Times New Roman" w:cs="Times New Roman"/>
          <w:sz w:val="21"/>
          <w:szCs w:val="21"/>
        </w:rPr>
        <w:t>istinguish</w:t>
      </w:r>
      <w:r>
        <w:rPr>
          <w:rFonts w:hint="default" w:ascii="Times New Roman" w:hAnsi="Times New Roman" w:cs="Times New Roman"/>
          <w:sz w:val="21"/>
          <w:szCs w:val="21"/>
          <w:lang w:val="en-US"/>
        </w:rPr>
        <w:t>ing</w:t>
      </w:r>
      <w:r>
        <w:rPr>
          <w:rFonts w:ascii="Times New Roman" w:hAnsi="Times New Roman" w:cs="Times New Roman"/>
          <w:sz w:val="21"/>
          <w:szCs w:val="21"/>
        </w:rPr>
        <w:t xml:space="preserve"> TC from anterior STEMI</w:t>
      </w:r>
      <w:r>
        <w:rPr>
          <w:rFonts w:hint="default" w:ascii="Times New Roman" w:hAnsi="Times New Roman" w:cs="Times New Roman"/>
          <w:sz w:val="21"/>
          <w:szCs w:val="21"/>
          <w:lang w:val="en-US"/>
        </w:rPr>
        <w:t xml:space="preserve"> is crucial</w:t>
      </w:r>
      <w:r>
        <w:rPr>
          <w:rFonts w:ascii="Times New Roman" w:hAnsi="Times New Roman" w:cs="Times New Roman"/>
          <w:sz w:val="21"/>
          <w:szCs w:val="21"/>
        </w:rPr>
        <w:t xml:space="preserve"> </w:t>
      </w:r>
      <w:r>
        <w:rPr>
          <w:rFonts w:hint="default" w:ascii="Times New Roman" w:hAnsi="Times New Roman" w:cs="Times New Roman"/>
          <w:sz w:val="21"/>
          <w:szCs w:val="21"/>
          <w:lang w:val="en-US"/>
        </w:rPr>
        <w:t>due to</w:t>
      </w:r>
      <w:r>
        <w:rPr>
          <w:rFonts w:ascii="Times New Roman" w:hAnsi="Times New Roman" w:cs="Times New Roman"/>
          <w:sz w:val="21"/>
          <w:szCs w:val="21"/>
        </w:rPr>
        <w:t xml:space="preserve"> differences in pathophysiology and treatment strategy, especially in acute phase.</w:t>
      </w:r>
      <w:r>
        <w:rPr>
          <w:rFonts w:hint="default" w:ascii="Times New Roman" w:hAnsi="Times New Roman" w:cs="Times New Roman"/>
          <w:sz w:val="21"/>
          <w:szCs w:val="21"/>
          <w:lang w:val="en-US"/>
        </w:rPr>
        <w:t xml:space="preserve"> Both</w:t>
      </w:r>
      <w:r>
        <w:rPr>
          <w:rFonts w:ascii="Times New Roman" w:hAnsi="Times New Roman" w:cs="Times New Roman"/>
          <w:sz w:val="21"/>
          <w:szCs w:val="21"/>
        </w:rPr>
        <w:t xml:space="preserve"> present</w:t>
      </w:r>
      <w:r>
        <w:rPr>
          <w:rFonts w:hint="default" w:ascii="Times New Roman" w:hAnsi="Times New Roman" w:cs="Times New Roman"/>
          <w:sz w:val="21"/>
          <w:szCs w:val="21"/>
          <w:lang w:val="en-US"/>
        </w:rPr>
        <w:t>ed</w:t>
      </w:r>
      <w:r>
        <w:rPr>
          <w:rFonts w:ascii="Times New Roman" w:hAnsi="Times New Roman" w:cs="Times New Roman"/>
          <w:sz w:val="21"/>
          <w:szCs w:val="21"/>
        </w:rPr>
        <w:t xml:space="preserve"> with similar clinical and ECG findings however, studies have tried to elucidate the distinctions. The main ECG characteristics of TC include ST depression in aVR &gt; 0.5 mm, ST elevation in VI ≤ 1 mm, frontal plane ST-vector 60°, QT prolongation, </w:t>
      </w:r>
      <w:r>
        <w:rPr>
          <w:rFonts w:hint="default" w:ascii="Times New Roman" w:hAnsi="Times New Roman" w:cs="Times New Roman"/>
          <w:sz w:val="21"/>
          <w:szCs w:val="21"/>
          <w:lang w:val="en-US"/>
        </w:rPr>
        <w:t>no</w:t>
      </w:r>
      <w:r>
        <w:rPr>
          <w:rFonts w:ascii="Times New Roman" w:hAnsi="Times New Roman" w:cs="Times New Roman"/>
          <w:sz w:val="21"/>
          <w:szCs w:val="21"/>
        </w:rPr>
        <w:t xml:space="preserve"> reciprocal </w:t>
      </w:r>
      <w:r>
        <w:rPr>
          <w:rFonts w:hint="default" w:ascii="Times New Roman" w:hAnsi="Times New Roman" w:cs="Times New Roman"/>
          <w:sz w:val="21"/>
          <w:szCs w:val="21"/>
          <w:lang w:val="en-US"/>
        </w:rPr>
        <w:t>ST depression</w:t>
      </w:r>
      <w:r>
        <w:rPr>
          <w:rFonts w:ascii="Times New Roman" w:hAnsi="Times New Roman" w:cs="Times New Roman"/>
          <w:sz w:val="21"/>
          <w:szCs w:val="21"/>
        </w:rPr>
        <w:t>, and reversible Q waves.  Typical echocardiography for TC includes apical hypokinesis and basal hyperkinesis, but other variations</w:t>
      </w:r>
      <w:r>
        <w:rPr>
          <w:rFonts w:hint="default" w:ascii="Times New Roman" w:hAnsi="Times New Roman" w:cs="Times New Roman"/>
          <w:sz w:val="21"/>
          <w:szCs w:val="21"/>
          <w:lang w:val="en-US"/>
        </w:rPr>
        <w:t xml:space="preserve"> </w:t>
      </w:r>
      <w:r>
        <w:rPr>
          <w:rFonts w:ascii="Times New Roman" w:hAnsi="Times New Roman" w:cs="Times New Roman"/>
          <w:sz w:val="21"/>
          <w:szCs w:val="21"/>
        </w:rPr>
        <w:t xml:space="preserve">have also been reported. In midventricular TC, there is akinesis of only mid-ventricular segment with or without hyperkinesis of apical and basal ventricular segments. </w:t>
      </w:r>
    </w:p>
    <w:p w14:paraId="66EB3DF8">
      <w:pPr>
        <w:rPr>
          <w:rFonts w:ascii="Times New Roman" w:hAnsi="Times New Roman" w:cs="Times New Roman"/>
          <w:sz w:val="22"/>
          <w:szCs w:val="22"/>
        </w:rPr>
      </w:pPr>
    </w:p>
    <w:p w14:paraId="466459BD">
      <w:pPr>
        <w:rPr>
          <w:rFonts w:ascii="Times New Roman" w:hAnsi="Times New Roman" w:cs="Times New Roman"/>
          <w:b/>
          <w:bCs/>
          <w:sz w:val="21"/>
          <w:szCs w:val="21"/>
        </w:rPr>
      </w:pPr>
      <w:r>
        <w:rPr>
          <w:rFonts w:ascii="Times New Roman" w:hAnsi="Times New Roman" w:cs="Times New Roman"/>
          <w:b/>
          <w:bCs/>
          <w:sz w:val="21"/>
          <w:szCs w:val="21"/>
        </w:rPr>
        <w:t>Conclusion</w:t>
      </w:r>
    </w:p>
    <w:p w14:paraId="018ABA5C">
      <w:pPr>
        <w:jc w:val="both"/>
        <w:rPr>
          <w:rFonts w:ascii="Times New Roman" w:hAnsi="Times New Roman" w:cs="Times New Roman"/>
          <w:sz w:val="21"/>
          <w:szCs w:val="21"/>
        </w:rPr>
      </w:pPr>
      <w:r>
        <w:rPr>
          <w:rFonts w:ascii="Times New Roman" w:hAnsi="Times New Roman" w:cs="Times New Roman"/>
          <w:sz w:val="21"/>
          <w:szCs w:val="21"/>
        </w:rPr>
        <w:t xml:space="preserve">Clinical acuity, together with ECG or cardiac POCUS assessments, can be used to direct the physician towards the diagnosis of TC. However, it is important to differentiate TC from anterior STEMI, and when in doubt, cardiac angiography should be pursued. </w:t>
      </w:r>
    </w:p>
    <w:p w14:paraId="3B445B48">
      <w:pPr>
        <w:jc w:val="both"/>
        <w:rPr>
          <w:rFonts w:ascii="Times New Roman" w:hAnsi="Times New Roman" w:cs="Times New Roman"/>
          <w:sz w:val="21"/>
          <w:szCs w:val="21"/>
        </w:rPr>
      </w:pPr>
      <w:r>
        <w:rPr>
          <w:rFonts w:ascii="Times New Roman" w:hAnsi="Times New Roman" w:cs="Times New Roman"/>
          <w:sz w:val="21"/>
          <w:szCs w:val="21"/>
        </w:rPr>
        <w:t xml:space="preserve"> </w:t>
      </w:r>
    </w:p>
    <w:p w14:paraId="18409BC9">
      <w:pPr>
        <w:rPr>
          <w:rFonts w:ascii="Times New Roman" w:hAnsi="Times New Roman" w:cs="Times New Roman"/>
          <w:sz w:val="22"/>
          <w:szCs w:val="22"/>
        </w:rPr>
      </w:pPr>
      <w:r>
        <w:rPr>
          <w:rFonts w:ascii="Times New Roman" w:hAnsi="Times New Roman" w:cs="Times New Roman"/>
          <w:b/>
          <w:bCs/>
          <w:sz w:val="21"/>
          <w:szCs w:val="21"/>
        </w:rPr>
        <w:t>Keywords</w:t>
      </w:r>
      <w:r>
        <w:rPr>
          <w:rFonts w:ascii="Times New Roman" w:hAnsi="Times New Roman" w:cs="Times New Roman"/>
          <w:sz w:val="22"/>
          <w:szCs w:val="22"/>
        </w:rPr>
        <w:t xml:space="preserve">: </w:t>
      </w:r>
      <w:r>
        <w:rPr>
          <w:rFonts w:ascii="Times New Roman" w:hAnsi="Times New Roman" w:cs="Times New Roman"/>
          <w:sz w:val="21"/>
          <w:szCs w:val="21"/>
        </w:rPr>
        <w:t>STEMI mimics, Takotsubo cardiomyopathy</w:t>
      </w:r>
    </w:p>
    <w:p w14:paraId="1C59B039">
      <w:pPr>
        <w:rPr>
          <w:rFonts w:ascii="Times New Roman" w:hAnsi="Times New Roman" w:cs="Times New Roman"/>
          <w:sz w:val="22"/>
          <w:szCs w:val="22"/>
        </w:rPr>
      </w:pPr>
      <w:bookmarkStart w:id="0" w:name="_GoBack"/>
      <w:bookmarkEnd w:id="0"/>
    </w:p>
    <w:p w14:paraId="63060539">
      <w:pPr>
        <w:rPr>
          <w:rFonts w:ascii="Times New Roman" w:hAnsi="Times New Roman" w:cs="Times New Roman"/>
          <w:sz w:val="22"/>
          <w:szCs w:val="22"/>
        </w:rPr>
      </w:pPr>
      <w:r>
        <w:rPr>
          <w:rFonts w:ascii="Times New Roman" w:hAnsi="Times New Roman" w:cs="Times New Roman"/>
          <w:b/>
          <w:bCs/>
          <w:sz w:val="21"/>
          <w:szCs w:val="21"/>
        </w:rPr>
        <w:t>References</w:t>
      </w:r>
      <w:r>
        <w:rPr>
          <w:rFonts w:ascii="Times New Roman" w:hAnsi="Times New Roman" w:cs="Times New Roman"/>
          <w:sz w:val="22"/>
          <w:szCs w:val="22"/>
        </w:rPr>
        <w:t xml:space="preserve">: </w:t>
      </w:r>
    </w:p>
    <w:p w14:paraId="31DC459B">
      <w:pPr>
        <w:rPr>
          <w:rFonts w:ascii="Times New Roman" w:hAnsi="Times New Roman" w:cs="Times New Roman"/>
          <w:i/>
          <w:iCs/>
        </w:rPr>
      </w:pPr>
      <w:r>
        <w:rPr>
          <w:rFonts w:ascii="Times New Roman" w:hAnsi="Times New Roman" w:cs="Times New Roman"/>
          <w:i/>
          <w:iCs/>
        </w:rPr>
        <w:t xml:space="preserve">Yoshihiro J. Akashi, David S. Goldstein, Giuseppe Barbaro and Takashi Ueyama : Takotsubo Cardiomyopathy ; A New Form of Acute, Reversible Heart Failure : </w:t>
      </w:r>
      <w:r>
        <w:fldChar w:fldCharType="begin"/>
      </w:r>
      <w:r>
        <w:instrText xml:space="preserve"> HYPERLINK "https://doi.org/10.1161/CIRCULATIONAHA.108.767012" </w:instrText>
      </w:r>
      <w:r>
        <w:fldChar w:fldCharType="separate"/>
      </w:r>
      <w:r>
        <w:rPr>
          <w:rStyle w:val="4"/>
          <w:rFonts w:ascii="Times New Roman" w:hAnsi="Times New Roman" w:cs="Times New Roman"/>
          <w:i/>
          <w:iCs/>
        </w:rPr>
        <w:t>https://doi.org/10.1161/CIRCULATIONAHA.108.767012</w:t>
      </w:r>
      <w:r>
        <w:rPr>
          <w:rStyle w:val="4"/>
          <w:rFonts w:ascii="Times New Roman" w:hAnsi="Times New Roman" w:cs="Times New Roman"/>
          <w:i/>
          <w:iCs/>
        </w:rPr>
        <w:fldChar w:fldCharType="end"/>
      </w:r>
      <w:r>
        <w:rPr>
          <w:rFonts w:ascii="Times New Roman" w:hAnsi="Times New Roman" w:cs="Times New Roman"/>
          <w:i/>
          <w:iCs/>
        </w:rPr>
        <w:t xml:space="preserve"> | Circulation. 2008;118:2754-2762</w:t>
      </w:r>
    </w:p>
    <w:p w14:paraId="04A6DC15">
      <w:pPr>
        <w:rPr>
          <w:rFonts w:ascii="Times New Roman" w:hAnsi="Times New Roman" w:cs="Times New Roman"/>
          <w:i/>
          <w:iCs/>
        </w:rPr>
      </w:pPr>
    </w:p>
    <w:p w14:paraId="2E63C198">
      <w:pPr>
        <w:rPr>
          <w:rFonts w:ascii="Times New Roman" w:hAnsi="Times New Roman" w:cs="Times New Roman"/>
          <w:i/>
          <w:iCs/>
        </w:rPr>
      </w:pPr>
      <w:r>
        <w:rPr>
          <w:rFonts w:ascii="Times New Roman" w:hAnsi="Times New Roman" w:cs="Times New Roman"/>
          <w:i/>
          <w:iCs/>
        </w:rPr>
        <w:t>Pruthi, S., Kobrossi, S., Bartaula, R., &amp; Chaudhuri, D. (2017). The misleading electrocardiogram – Midventricular Takotsubo masquerading as anterior wall STEMI. The American Journal of Emergency Medicine, 35(10), 1586.e3–1586.e4. doi:10.1016/j.ajem.2017.07.079</w:t>
      </w:r>
    </w:p>
    <w:p w14:paraId="0B21B0FB">
      <w:pPr>
        <w:rPr>
          <w:rFonts w:ascii="Times New Roman" w:hAnsi="Times New Roman" w:cs="Times New Roman"/>
          <w:i/>
          <w:iCs/>
        </w:rPr>
      </w:pPr>
    </w:p>
    <w:p w14:paraId="021591FF">
      <w:pPr>
        <w:rPr>
          <w:rFonts w:ascii="Times New Roman" w:hAnsi="Times New Roman" w:cs="Times New Roman"/>
          <w:i/>
          <w:iCs/>
        </w:rPr>
      </w:pPr>
      <w:r>
        <w:rPr>
          <w:rFonts w:ascii="Times New Roman" w:hAnsi="Times New Roman" w:cs="Times New Roman"/>
          <w:i/>
          <w:iCs/>
        </w:rPr>
        <w:t>Vervaat, F. E., Christensen, T. E., Smeijers, L., Holmvang, L., Hasbak, P., Szabó, B. M., … Gorgels, A. P. M. (2015). Is it possible to differentiate between Takotsubo cardiomyopathy and acute anterior ST-elevation myocardial infarction? Journal of Electrocardiology, 48(4), 512–519.</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720"/>
  <w:hyphenationZone w:val="36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7757B3"/>
    <w:rsid w:val="0003316F"/>
    <w:rsid w:val="00215EB6"/>
    <w:rsid w:val="002C4962"/>
    <w:rsid w:val="00381517"/>
    <w:rsid w:val="003C207C"/>
    <w:rsid w:val="004E542F"/>
    <w:rsid w:val="00581F48"/>
    <w:rsid w:val="005945B0"/>
    <w:rsid w:val="006D30A2"/>
    <w:rsid w:val="00854F3B"/>
    <w:rsid w:val="00B03593"/>
    <w:rsid w:val="00BF6CFC"/>
    <w:rsid w:val="00C37588"/>
    <w:rsid w:val="00D004C9"/>
    <w:rsid w:val="00D36064"/>
    <w:rsid w:val="00E844AA"/>
    <w:rsid w:val="00F333E9"/>
    <w:rsid w:val="117757B3"/>
    <w:rsid w:val="242A6809"/>
    <w:rsid w:val="2B266FAD"/>
    <w:rsid w:val="34A76F6E"/>
    <w:rsid w:val="52155C2A"/>
    <w:rsid w:val="58027609"/>
    <w:rsid w:val="59202C2E"/>
    <w:rsid w:val="628B3B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SimSun" w:cs="Times New Roman"/>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CellMar>
        <w:top w:w="0" w:type="dxa"/>
        <w:left w:w="108" w:type="dxa"/>
        <w:bottom w:w="0" w:type="dxa"/>
        <w:right w:w="108" w:type="dxa"/>
      </w:tblCellMar>
    </w:tblPr>
  </w:style>
  <w:style w:type="character" w:styleId="4">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717</Words>
  <Characters>4530</Characters>
  <Lines>37</Lines>
  <Paragraphs>10</Paragraphs>
  <TotalTime>50</TotalTime>
  <ScaleCrop>false</ScaleCrop>
  <LinksUpToDate>false</LinksUpToDate>
  <CharactersWithSpaces>5237</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2024-05-14T08:51:00Z</dcterms:created>
  <dc:creator>HUAWEI</dc:creator>
  <cp:lastModifiedBy>Mohamad Hamidi</cp:lastModifiedBy>
  <dcterms:modified xsi:type="dcterms:W3CDTF">2024-06-25T04:54:36Z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8AC967257CD34E42A0E7CEE49A5655E4_13</vt:lpwstr>
  </property>
</Properties>
</file>